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57D4FB60"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w:t>
      </w:r>
      <w:r w:rsidR="00101878">
        <w:rPr>
          <w:rFonts w:ascii="Arial" w:hAnsi="Arial"/>
          <w:b/>
          <w:sz w:val="20"/>
          <w:szCs w:val="20"/>
        </w:rPr>
        <w:t>24343</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361B4F95"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2F578EF3" w14:textId="676937D5" w:rsidR="00E67C4F" w:rsidRPr="00B46F27" w:rsidRDefault="00E67C4F" w:rsidP="00E67C4F">
            <w:pPr>
              <w:rPr>
                <w:rFonts w:ascii="Arial" w:hAnsi="Arial" w:cs="Arial"/>
                <w:sz w:val="20"/>
                <w:szCs w:val="20"/>
              </w:rPr>
            </w:pPr>
            <w:r w:rsidRPr="00B46F27">
              <w:rPr>
                <w:rFonts w:ascii="Arial" w:hAnsi="Arial" w:cs="Arial"/>
                <w:sz w:val="20"/>
                <w:szCs w:val="20"/>
              </w:rPr>
              <w:t>Name: Ryan Glover – AM</w:t>
            </w:r>
            <w:r w:rsidR="005A162B" w:rsidRPr="00B46F27">
              <w:rPr>
                <w:rFonts w:ascii="Arial" w:hAnsi="Arial" w:cs="Arial"/>
                <w:sz w:val="20"/>
                <w:szCs w:val="20"/>
              </w:rPr>
              <w:t>4</w:t>
            </w:r>
          </w:p>
          <w:p w14:paraId="4D13DCAA" w14:textId="0C2663F8" w:rsidR="00E67C4F" w:rsidRPr="00B46F27" w:rsidRDefault="00E67C4F" w:rsidP="00E67C4F">
            <w:pPr>
              <w:rPr>
                <w:rFonts w:ascii="Arial" w:hAnsi="Arial" w:cs="Arial"/>
                <w:sz w:val="20"/>
                <w:szCs w:val="20"/>
              </w:rPr>
            </w:pPr>
            <w:r w:rsidRPr="00B46F27">
              <w:rPr>
                <w:rFonts w:ascii="Arial" w:hAnsi="Arial" w:cs="Arial"/>
                <w:sz w:val="20"/>
                <w:szCs w:val="20"/>
              </w:rPr>
              <w:t>Title: Director, Corporate Pricing – AM</w:t>
            </w:r>
            <w:r w:rsidR="005A162B" w:rsidRPr="00B46F27">
              <w:rPr>
                <w:rFonts w:ascii="Arial" w:hAnsi="Arial" w:cs="Arial"/>
                <w:sz w:val="20"/>
                <w:szCs w:val="20"/>
              </w:rPr>
              <w:t>4</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50C8D73A"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00CC3E47">
              <w:rPr>
                <w:rFonts w:ascii="Arial" w:hAnsi="Arial" w:cs="Arial"/>
                <w:sz w:val="20"/>
                <w:szCs w:val="20"/>
              </w:rPr>
              <w:t xml:space="preserve"> </w:t>
            </w:r>
            <w:r w:rsidRPr="00BF3210">
              <w:rPr>
                <w:rFonts w:ascii="Arial" w:hAnsi="Arial" w:cs="Arial"/>
                <w:sz w:val="20"/>
                <w:szCs w:val="20"/>
              </w:rPr>
              <w:t>Date:</w:t>
            </w:r>
            <w:r w:rsidR="0025333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address">
              <w:smartTag w:uri="urn:schemas-microsoft-com:office:smarttags" w:element="Street">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address">
              <w:smartTag w:uri="urn:schemas-microsoft-com:office:smarttags" w:element="Street">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027D7848"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F829A8">
        <w:rPr>
          <w:rFonts w:ascii="Arial" w:hAnsi="Arial" w:cs="Arial"/>
          <w:sz w:val="20"/>
          <w:szCs w:val="20"/>
        </w:rPr>
        <w:t xml:space="preserve"> </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15DE2D21"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8D449E">
        <w:rPr>
          <w:rFonts w:ascii="Arial" w:hAnsi="Arial" w:cs="Arial"/>
          <w:sz w:val="20"/>
          <w:szCs w:val="20"/>
        </w:rPr>
        <w:t>x</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w:t>
      </w:r>
      <w:r w:rsidRPr="00642C12">
        <w:rPr>
          <w:rFonts w:ascii="Arial" w:hAnsi="Arial" w:cs="Arial"/>
          <w:sz w:val="20"/>
          <w:szCs w:val="20"/>
        </w:rPr>
        <w:lastRenderedPageBreak/>
        <w:t xml:space="preserve">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2480DB1B"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8D449E">
        <w:rPr>
          <w:rFonts w:ascii="Arial" w:hAnsi="Arial" w:cs="Arial"/>
          <w:sz w:val="20"/>
          <w:szCs w:val="20"/>
        </w:rPr>
        <w:t>24343</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country-region">
        <w:smartTag w:uri="urn:schemas-microsoft-com:office:smarttags" w:element="place">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7E4470BB" w:rsidR="00160372" w:rsidRPr="00642C12" w:rsidRDefault="005D322A" w:rsidP="00F829A8">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1EE6689A"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F829A8">
        <w:rPr>
          <w:rFonts w:ascii="Arial" w:hAnsi="Arial" w:cs="Arial"/>
          <w:sz w:val="20"/>
          <w:szCs w:val="20"/>
        </w:rPr>
        <w:t>4</w:t>
      </w:r>
    </w:p>
    <w:p w14:paraId="43F69D02" w14:textId="3FF38A43"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F829A8">
        <w:rPr>
          <w:rFonts w:ascii="Arial" w:hAnsi="Arial" w:cs="Arial"/>
          <w:sz w:val="20"/>
          <w:szCs w:val="20"/>
        </w:rPr>
        <w:t>5</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281F334F" w:rsidR="00B04423" w:rsidRPr="000A1903" w:rsidRDefault="00B04423" w:rsidP="00F829A8">
      <w:pPr>
        <w:outlineLvl w:val="0"/>
        <w:rPr>
          <w:rFonts w:ascii="Arial" w:hAnsi="Arial" w:cs="Arial"/>
          <w:strike/>
          <w:sz w:val="20"/>
          <w:szCs w:val="20"/>
        </w:rPr>
      </w:pPr>
      <w:bookmarkStart w:id="0" w:name="_Hlk128374675"/>
      <w:bookmarkStart w:id="1" w:name="_Hlk164861187"/>
      <w:r w:rsidRPr="000A1903">
        <w:rPr>
          <w:rFonts w:ascii="Arial" w:hAnsi="Arial" w:cs="Arial"/>
          <w:sz w:val="20"/>
          <w:szCs w:val="20"/>
        </w:rPr>
        <w:t>From: Haiphong, Vietnam (CY)</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5545EB" w:rsidRPr="00B04423" w14:paraId="5D910A66" w14:textId="77777777" w:rsidTr="003A0E0D">
        <w:tc>
          <w:tcPr>
            <w:tcW w:w="861" w:type="dxa"/>
          </w:tcPr>
          <w:p w14:paraId="687A3662" w14:textId="77777777" w:rsidR="005545EB" w:rsidRPr="00E37C66" w:rsidRDefault="005545EB" w:rsidP="005545EB">
            <w:pPr>
              <w:rPr>
                <w:rFonts w:ascii="Arial" w:hAnsi="Arial" w:cs="Arial"/>
                <w:sz w:val="20"/>
                <w:szCs w:val="20"/>
              </w:rPr>
            </w:pPr>
          </w:p>
        </w:tc>
        <w:tc>
          <w:tcPr>
            <w:tcW w:w="2667" w:type="dxa"/>
          </w:tcPr>
          <w:p w14:paraId="33853FF1" w14:textId="77777777" w:rsidR="005545EB" w:rsidRPr="00E37C66" w:rsidRDefault="005545EB" w:rsidP="005545EB">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5545EB" w:rsidRPr="00E37C66" w:rsidRDefault="005545EB" w:rsidP="005545EB">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5545EB" w:rsidRPr="00E37C66" w:rsidRDefault="005545EB" w:rsidP="005545EB">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953C42C" w:rsidR="005545EB" w:rsidRPr="00E37C66" w:rsidRDefault="005545EB" w:rsidP="005545EB">
            <w:pPr>
              <w:rPr>
                <w:rFonts w:ascii="Arial" w:hAnsi="Arial" w:cs="Arial"/>
                <w:sz w:val="20"/>
                <w:szCs w:val="20"/>
              </w:rPr>
            </w:pPr>
            <w:r>
              <w:rPr>
                <w:rFonts w:ascii="Arial" w:hAnsi="Arial" w:cs="Arial"/>
                <w:color w:val="000000"/>
                <w:sz w:val="20"/>
                <w:szCs w:val="20"/>
              </w:rPr>
              <w:t>2245</w:t>
            </w:r>
          </w:p>
        </w:tc>
        <w:tc>
          <w:tcPr>
            <w:tcW w:w="810" w:type="dxa"/>
            <w:vAlign w:val="bottom"/>
          </w:tcPr>
          <w:p w14:paraId="78FB129C" w14:textId="7D2A6269" w:rsidR="005545EB" w:rsidRPr="00E37C66" w:rsidRDefault="005545EB" w:rsidP="005545EB">
            <w:pPr>
              <w:rPr>
                <w:rFonts w:ascii="Arial" w:hAnsi="Arial" w:cs="Arial"/>
                <w:sz w:val="20"/>
                <w:szCs w:val="20"/>
              </w:rPr>
            </w:pPr>
            <w:r>
              <w:rPr>
                <w:rFonts w:ascii="Arial" w:hAnsi="Arial" w:cs="Arial"/>
                <w:color w:val="000000"/>
                <w:sz w:val="20"/>
                <w:szCs w:val="20"/>
              </w:rPr>
              <w:t>2805</w:t>
            </w:r>
          </w:p>
        </w:tc>
        <w:tc>
          <w:tcPr>
            <w:tcW w:w="890" w:type="dxa"/>
            <w:vAlign w:val="bottom"/>
          </w:tcPr>
          <w:p w14:paraId="5305EB06" w14:textId="68E2312E" w:rsidR="005545EB" w:rsidRPr="00E37C66" w:rsidRDefault="005545EB" w:rsidP="005545EB">
            <w:pPr>
              <w:rPr>
                <w:rFonts w:ascii="Arial" w:hAnsi="Arial" w:cs="Arial"/>
                <w:sz w:val="20"/>
                <w:szCs w:val="20"/>
              </w:rPr>
            </w:pPr>
            <w:r>
              <w:rPr>
                <w:rFonts w:ascii="Arial" w:hAnsi="Arial" w:cs="Arial"/>
                <w:color w:val="000000"/>
                <w:sz w:val="20"/>
                <w:szCs w:val="20"/>
              </w:rPr>
              <w:t>2905</w:t>
            </w:r>
          </w:p>
        </w:tc>
        <w:tc>
          <w:tcPr>
            <w:tcW w:w="839" w:type="dxa"/>
            <w:vAlign w:val="bottom"/>
          </w:tcPr>
          <w:p w14:paraId="251624DD" w14:textId="4A43E3FC" w:rsidR="005545EB" w:rsidRPr="00E37C66" w:rsidRDefault="005545EB" w:rsidP="005545EB">
            <w:pPr>
              <w:rPr>
                <w:rFonts w:ascii="Arial" w:hAnsi="Arial" w:cs="Arial"/>
                <w:sz w:val="20"/>
                <w:szCs w:val="20"/>
              </w:rPr>
            </w:pPr>
            <w:r>
              <w:rPr>
                <w:rFonts w:ascii="Arial" w:hAnsi="Arial" w:cs="Arial"/>
                <w:color w:val="000000"/>
                <w:sz w:val="20"/>
                <w:szCs w:val="20"/>
              </w:rPr>
              <w:t>3155</w:t>
            </w:r>
          </w:p>
        </w:tc>
      </w:tr>
    </w:tbl>
    <w:p w14:paraId="0EEDE5AF" w14:textId="77777777" w:rsidR="00B04423" w:rsidRDefault="00B04423" w:rsidP="004B44DE">
      <w:pPr>
        <w:outlineLvl w:val="0"/>
        <w:rPr>
          <w:rFonts w:ascii="Arial" w:hAnsi="Arial" w:cs="Arial"/>
          <w:sz w:val="20"/>
          <w:szCs w:val="20"/>
        </w:rPr>
      </w:pPr>
    </w:p>
    <w:p w14:paraId="006FF112" w14:textId="2B4BC252" w:rsidR="009B77D2" w:rsidRPr="00795E47" w:rsidRDefault="009B77D2" w:rsidP="009B77D2">
      <w:pPr>
        <w:outlineLvl w:val="0"/>
        <w:rPr>
          <w:rFonts w:ascii="Arial" w:hAnsi="Arial" w:cs="Arial"/>
          <w:sz w:val="20"/>
          <w:szCs w:val="20"/>
        </w:rPr>
      </w:pPr>
      <w:r w:rsidRPr="00795E47">
        <w:rPr>
          <w:rFonts w:ascii="Arial" w:hAnsi="Arial" w:cs="Arial"/>
          <w:sz w:val="20"/>
          <w:szCs w:val="20"/>
        </w:rPr>
        <w:t xml:space="preserve">From: Ho Chi Minh City, Vietnam (CY) </w:t>
      </w:r>
    </w:p>
    <w:p w14:paraId="618000E0" w14:textId="77777777" w:rsidR="009B77D2" w:rsidRPr="00C57489" w:rsidRDefault="009B77D2" w:rsidP="009B77D2">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9B77D2" w:rsidRPr="00C57489" w14:paraId="311000A1" w14:textId="77777777" w:rsidTr="00E1201C">
        <w:tc>
          <w:tcPr>
            <w:tcW w:w="861" w:type="dxa"/>
          </w:tcPr>
          <w:p w14:paraId="06AE7A34" w14:textId="77777777" w:rsidR="009B77D2" w:rsidRPr="00C57489" w:rsidRDefault="009B77D2" w:rsidP="00E1201C">
            <w:pPr>
              <w:rPr>
                <w:rFonts w:ascii="Arial" w:hAnsi="Arial" w:cs="Arial"/>
                <w:b/>
                <w:bCs/>
                <w:sz w:val="20"/>
                <w:szCs w:val="20"/>
              </w:rPr>
            </w:pPr>
          </w:p>
        </w:tc>
        <w:tc>
          <w:tcPr>
            <w:tcW w:w="2667" w:type="dxa"/>
          </w:tcPr>
          <w:p w14:paraId="6E92E040"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Destination</w:t>
            </w:r>
          </w:p>
        </w:tc>
        <w:tc>
          <w:tcPr>
            <w:tcW w:w="810" w:type="dxa"/>
          </w:tcPr>
          <w:p w14:paraId="13B1DC6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SVC</w:t>
            </w:r>
          </w:p>
        </w:tc>
        <w:tc>
          <w:tcPr>
            <w:tcW w:w="818" w:type="dxa"/>
          </w:tcPr>
          <w:p w14:paraId="29613DA7"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Mode</w:t>
            </w:r>
          </w:p>
        </w:tc>
        <w:tc>
          <w:tcPr>
            <w:tcW w:w="802" w:type="dxa"/>
          </w:tcPr>
          <w:p w14:paraId="1286E82B"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20D</w:t>
            </w:r>
          </w:p>
        </w:tc>
        <w:tc>
          <w:tcPr>
            <w:tcW w:w="810" w:type="dxa"/>
          </w:tcPr>
          <w:p w14:paraId="5C856B72"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40D</w:t>
            </w:r>
          </w:p>
        </w:tc>
        <w:tc>
          <w:tcPr>
            <w:tcW w:w="890" w:type="dxa"/>
          </w:tcPr>
          <w:p w14:paraId="0577EC9A"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40HC</w:t>
            </w:r>
          </w:p>
        </w:tc>
        <w:tc>
          <w:tcPr>
            <w:tcW w:w="839" w:type="dxa"/>
          </w:tcPr>
          <w:p w14:paraId="64BC90E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45HC</w:t>
            </w:r>
          </w:p>
        </w:tc>
      </w:tr>
      <w:tr w:rsidR="009B77D2" w:rsidRPr="00C57489" w14:paraId="15B7C720" w14:textId="77777777" w:rsidTr="00E1201C">
        <w:tc>
          <w:tcPr>
            <w:tcW w:w="861" w:type="dxa"/>
          </w:tcPr>
          <w:p w14:paraId="7AE3E6FF" w14:textId="77777777" w:rsidR="009B77D2" w:rsidRPr="00CD5978" w:rsidRDefault="009B77D2" w:rsidP="00E1201C">
            <w:pPr>
              <w:rPr>
                <w:rFonts w:ascii="Arial" w:hAnsi="Arial" w:cs="Arial"/>
                <w:sz w:val="20"/>
                <w:szCs w:val="20"/>
              </w:rPr>
            </w:pPr>
          </w:p>
        </w:tc>
        <w:tc>
          <w:tcPr>
            <w:tcW w:w="2667" w:type="dxa"/>
          </w:tcPr>
          <w:p w14:paraId="1421AF56" w14:textId="77777777" w:rsidR="009B77D2" w:rsidRPr="00CD5978" w:rsidRDefault="009B77D2" w:rsidP="00E1201C">
            <w:pPr>
              <w:rPr>
                <w:rFonts w:ascii="Arial" w:hAnsi="Arial" w:cs="Arial"/>
                <w:sz w:val="20"/>
                <w:szCs w:val="20"/>
              </w:rPr>
            </w:pPr>
            <w:r w:rsidRPr="00CD5978">
              <w:rPr>
                <w:rFonts w:ascii="Arial" w:hAnsi="Arial" w:cs="Arial"/>
                <w:sz w:val="20"/>
                <w:szCs w:val="20"/>
              </w:rPr>
              <w:t xml:space="preserve">Long Beach, CA </w:t>
            </w:r>
          </w:p>
        </w:tc>
        <w:tc>
          <w:tcPr>
            <w:tcW w:w="810" w:type="dxa"/>
          </w:tcPr>
          <w:p w14:paraId="6B5042E4" w14:textId="77777777" w:rsidR="009B77D2" w:rsidRPr="00CD5978" w:rsidRDefault="009B77D2" w:rsidP="00E1201C">
            <w:pPr>
              <w:rPr>
                <w:rFonts w:ascii="Arial" w:hAnsi="Arial" w:cs="Arial"/>
                <w:sz w:val="20"/>
                <w:szCs w:val="20"/>
              </w:rPr>
            </w:pPr>
            <w:r w:rsidRPr="00CD5978">
              <w:rPr>
                <w:rFonts w:ascii="Arial" w:hAnsi="Arial" w:cs="Arial"/>
                <w:sz w:val="20"/>
                <w:szCs w:val="20"/>
              </w:rPr>
              <w:t>CY</w:t>
            </w:r>
          </w:p>
        </w:tc>
        <w:tc>
          <w:tcPr>
            <w:tcW w:w="818" w:type="dxa"/>
          </w:tcPr>
          <w:p w14:paraId="01231E11" w14:textId="77777777" w:rsidR="009B77D2" w:rsidRPr="00CD5978" w:rsidRDefault="009B77D2" w:rsidP="00E1201C">
            <w:pPr>
              <w:rPr>
                <w:rFonts w:ascii="Arial" w:hAnsi="Arial" w:cs="Arial"/>
                <w:sz w:val="20"/>
                <w:szCs w:val="20"/>
              </w:rPr>
            </w:pPr>
            <w:r w:rsidRPr="00CD5978">
              <w:rPr>
                <w:rFonts w:ascii="Arial" w:hAnsi="Arial" w:cs="Arial"/>
                <w:sz w:val="20"/>
                <w:szCs w:val="20"/>
              </w:rPr>
              <w:t> </w:t>
            </w:r>
          </w:p>
        </w:tc>
        <w:tc>
          <w:tcPr>
            <w:tcW w:w="802" w:type="dxa"/>
            <w:vAlign w:val="bottom"/>
          </w:tcPr>
          <w:p w14:paraId="3B4521C2"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662CD010"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6036F125"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36CDF188"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4275</w:t>
            </w:r>
          </w:p>
        </w:tc>
      </w:tr>
    </w:tbl>
    <w:p w14:paraId="2D06FEF6" w14:textId="77777777" w:rsidR="009B77D2" w:rsidRDefault="009B77D2"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9B77D2" w:rsidRPr="00C57489" w14:paraId="4E3CA21A" w14:textId="77777777" w:rsidTr="00CF2315">
        <w:tc>
          <w:tcPr>
            <w:tcW w:w="861" w:type="dxa"/>
          </w:tcPr>
          <w:p w14:paraId="29D9EF24" w14:textId="77777777" w:rsidR="009B77D2" w:rsidRPr="009B77D2" w:rsidRDefault="009B77D2" w:rsidP="009B77D2">
            <w:pPr>
              <w:rPr>
                <w:rFonts w:ascii="Arial" w:hAnsi="Arial" w:cs="Arial"/>
                <w:sz w:val="20"/>
                <w:szCs w:val="20"/>
              </w:rPr>
            </w:pPr>
          </w:p>
        </w:tc>
        <w:tc>
          <w:tcPr>
            <w:tcW w:w="2667" w:type="dxa"/>
          </w:tcPr>
          <w:p w14:paraId="28B7F333" w14:textId="497FAF70" w:rsidR="009B77D2" w:rsidRPr="009B77D2" w:rsidRDefault="009B77D2" w:rsidP="009B77D2">
            <w:pPr>
              <w:rPr>
                <w:rFonts w:ascii="Arial" w:hAnsi="Arial" w:cs="Arial"/>
                <w:sz w:val="20"/>
                <w:szCs w:val="20"/>
              </w:rPr>
            </w:pPr>
            <w:r>
              <w:rPr>
                <w:rFonts w:ascii="Arial" w:hAnsi="Arial" w:cs="Arial"/>
                <w:sz w:val="20"/>
                <w:szCs w:val="20"/>
              </w:rPr>
              <w:t>Chicago, IL</w:t>
            </w:r>
          </w:p>
        </w:tc>
        <w:tc>
          <w:tcPr>
            <w:tcW w:w="810" w:type="dxa"/>
          </w:tcPr>
          <w:p w14:paraId="33F9AB11" w14:textId="683E6CDD" w:rsidR="009B77D2" w:rsidRPr="009B77D2" w:rsidRDefault="009B77D2" w:rsidP="009B77D2">
            <w:pPr>
              <w:rPr>
                <w:rFonts w:ascii="Arial" w:hAnsi="Arial" w:cs="Arial"/>
                <w:sz w:val="20"/>
                <w:szCs w:val="20"/>
              </w:rPr>
            </w:pPr>
            <w:r>
              <w:rPr>
                <w:rFonts w:ascii="Arial" w:hAnsi="Arial" w:cs="Arial"/>
                <w:sz w:val="20"/>
                <w:szCs w:val="20"/>
              </w:rPr>
              <w:t>CY</w:t>
            </w:r>
          </w:p>
        </w:tc>
        <w:tc>
          <w:tcPr>
            <w:tcW w:w="818" w:type="dxa"/>
          </w:tcPr>
          <w:p w14:paraId="0C248638" w14:textId="419902A3" w:rsidR="009B77D2" w:rsidRPr="009B77D2" w:rsidRDefault="009B77D2" w:rsidP="009B77D2">
            <w:pPr>
              <w:rPr>
                <w:rFonts w:ascii="Arial" w:hAnsi="Arial" w:cs="Arial"/>
                <w:sz w:val="20"/>
                <w:szCs w:val="20"/>
              </w:rPr>
            </w:pPr>
            <w:r>
              <w:rPr>
                <w:rFonts w:ascii="Arial" w:hAnsi="Arial" w:cs="Arial"/>
                <w:sz w:val="20"/>
                <w:szCs w:val="20"/>
              </w:rPr>
              <w:t>IPI</w:t>
            </w:r>
          </w:p>
        </w:tc>
        <w:tc>
          <w:tcPr>
            <w:tcW w:w="802" w:type="dxa"/>
            <w:vAlign w:val="bottom"/>
          </w:tcPr>
          <w:p w14:paraId="703DBA0E" w14:textId="1E958271"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0B178F45" w14:textId="68B9EBCF"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21DFF800" w14:textId="3F985E55"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2839D8BD" w14:textId="5367BF90"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5545EB" w:rsidRPr="00C57489" w14:paraId="0BF0FC4B" w14:textId="77777777" w:rsidTr="00EE0B09">
        <w:tc>
          <w:tcPr>
            <w:tcW w:w="861" w:type="dxa"/>
          </w:tcPr>
          <w:p w14:paraId="1C5137A6" w14:textId="77777777" w:rsidR="005545EB" w:rsidRPr="00795E47" w:rsidRDefault="005545EB" w:rsidP="005545EB">
            <w:pPr>
              <w:rPr>
                <w:rFonts w:ascii="Arial" w:hAnsi="Arial" w:cs="Arial"/>
                <w:sz w:val="20"/>
                <w:szCs w:val="20"/>
              </w:rPr>
            </w:pPr>
          </w:p>
        </w:tc>
        <w:tc>
          <w:tcPr>
            <w:tcW w:w="2667" w:type="dxa"/>
          </w:tcPr>
          <w:p w14:paraId="72D0ABA0" w14:textId="77777777" w:rsidR="005545EB" w:rsidRPr="00795E47" w:rsidRDefault="005545EB" w:rsidP="005545EB">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5545EB" w:rsidRPr="00795E47" w:rsidRDefault="005545EB" w:rsidP="005545EB">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5545EB" w:rsidRPr="00795E47" w:rsidRDefault="005545EB" w:rsidP="005545EB">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4D3F4B78" w:rsidR="005545EB" w:rsidRPr="0083667E" w:rsidRDefault="005545EB" w:rsidP="005545EB">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2935A6EF" w14:textId="608C6626" w:rsidR="005545EB" w:rsidRPr="0083667E" w:rsidRDefault="005545EB" w:rsidP="005545EB">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0A51F359" w14:textId="41FF95C0" w:rsidR="005545EB" w:rsidRPr="0083667E" w:rsidRDefault="005545EB" w:rsidP="005545EB">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04F14C9E" w14:textId="545574DB" w:rsidR="005545EB" w:rsidRPr="0083667E" w:rsidRDefault="005545EB" w:rsidP="005545EB">
            <w:pPr>
              <w:rPr>
                <w:rFonts w:ascii="Arial" w:hAnsi="Arial" w:cs="Arial"/>
                <w:color w:val="000000"/>
                <w:sz w:val="20"/>
                <w:szCs w:val="20"/>
              </w:rPr>
            </w:pPr>
            <w:r>
              <w:rPr>
                <w:rFonts w:ascii="Arial" w:hAnsi="Arial" w:cs="Arial"/>
                <w:color w:val="000000"/>
                <w:sz w:val="20"/>
                <w:szCs w:val="20"/>
              </w:rPr>
              <w:t>6600</w:t>
            </w:r>
          </w:p>
        </w:tc>
      </w:tr>
      <w:tr w:rsidR="005545EB" w:rsidRPr="00C57489" w14:paraId="526F2DA6" w14:textId="77777777" w:rsidTr="00EE0B09">
        <w:tc>
          <w:tcPr>
            <w:tcW w:w="861" w:type="dxa"/>
          </w:tcPr>
          <w:p w14:paraId="01A2B21A" w14:textId="77777777" w:rsidR="005545EB" w:rsidRPr="00CD5978" w:rsidRDefault="005545EB" w:rsidP="005545EB">
            <w:pPr>
              <w:rPr>
                <w:rFonts w:ascii="Arial" w:hAnsi="Arial"/>
                <w:sz w:val="20"/>
                <w:szCs w:val="20"/>
              </w:rPr>
            </w:pPr>
          </w:p>
        </w:tc>
        <w:tc>
          <w:tcPr>
            <w:tcW w:w="2667" w:type="dxa"/>
          </w:tcPr>
          <w:p w14:paraId="59974D69" w14:textId="77777777" w:rsidR="005545EB" w:rsidRPr="00CD5978" w:rsidRDefault="005545EB" w:rsidP="005545EB">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5545EB" w:rsidRPr="00CD5978" w:rsidRDefault="005545EB" w:rsidP="005545EB">
            <w:pPr>
              <w:rPr>
                <w:rFonts w:ascii="Arial" w:hAnsi="Arial"/>
                <w:sz w:val="20"/>
                <w:szCs w:val="20"/>
              </w:rPr>
            </w:pPr>
            <w:r w:rsidRPr="00CD5978">
              <w:rPr>
                <w:rFonts w:ascii="Arial" w:hAnsi="Arial"/>
                <w:sz w:val="20"/>
                <w:szCs w:val="20"/>
              </w:rPr>
              <w:t>CY</w:t>
            </w:r>
          </w:p>
        </w:tc>
        <w:tc>
          <w:tcPr>
            <w:tcW w:w="818" w:type="dxa"/>
          </w:tcPr>
          <w:p w14:paraId="32964854" w14:textId="77777777" w:rsidR="005545EB" w:rsidRPr="00CD5978" w:rsidRDefault="005545EB" w:rsidP="005545EB">
            <w:pPr>
              <w:rPr>
                <w:rFonts w:ascii="Arial" w:hAnsi="Arial"/>
                <w:sz w:val="20"/>
                <w:szCs w:val="20"/>
              </w:rPr>
            </w:pPr>
            <w:r w:rsidRPr="00CD5978">
              <w:rPr>
                <w:rFonts w:ascii="Arial" w:hAnsi="Arial"/>
                <w:sz w:val="20"/>
                <w:szCs w:val="20"/>
              </w:rPr>
              <w:t>MLB</w:t>
            </w:r>
          </w:p>
        </w:tc>
        <w:tc>
          <w:tcPr>
            <w:tcW w:w="802" w:type="dxa"/>
            <w:vAlign w:val="bottom"/>
          </w:tcPr>
          <w:p w14:paraId="4A6192CF" w14:textId="4101904F" w:rsidR="005545EB" w:rsidRPr="00CD5978" w:rsidRDefault="005545EB" w:rsidP="005545EB">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1C49F64E" w14:textId="413BE35A" w:rsidR="005545EB" w:rsidRPr="00CD5978" w:rsidRDefault="005545EB" w:rsidP="005545EB">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5C7ABF6A" w14:textId="2A23BAA6" w:rsidR="005545EB" w:rsidRPr="00CD5978" w:rsidRDefault="005545EB" w:rsidP="005545EB">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6C0E1E5F" w14:textId="4949EC96" w:rsidR="005545EB" w:rsidRPr="00CD5978" w:rsidRDefault="005545EB" w:rsidP="005545EB">
            <w:pPr>
              <w:rPr>
                <w:rFonts w:ascii="Arial" w:hAnsi="Arial" w:cs="Arial"/>
                <w:color w:val="000000"/>
                <w:sz w:val="20"/>
                <w:szCs w:val="20"/>
              </w:rPr>
            </w:pPr>
            <w:r>
              <w:rPr>
                <w:rFonts w:ascii="Arial" w:hAnsi="Arial" w:cs="Arial"/>
                <w:color w:val="000000"/>
                <w:sz w:val="20"/>
                <w:szCs w:val="20"/>
              </w:rPr>
              <w:t>7600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8457B8" w:rsidRPr="00CA248E" w14:paraId="438EE510" w14:textId="7424C2F1" w:rsidTr="008457B8">
        <w:tc>
          <w:tcPr>
            <w:tcW w:w="861" w:type="dxa"/>
          </w:tcPr>
          <w:p w14:paraId="64B3E67B" w14:textId="77777777" w:rsidR="008457B8" w:rsidRPr="00CA248E" w:rsidRDefault="008457B8" w:rsidP="00FA1E45">
            <w:pPr>
              <w:rPr>
                <w:rFonts w:ascii="Arial" w:hAnsi="Arial" w:cs="Arial"/>
                <w:b/>
                <w:bCs/>
                <w:sz w:val="20"/>
                <w:szCs w:val="20"/>
              </w:rPr>
            </w:pPr>
          </w:p>
        </w:tc>
        <w:tc>
          <w:tcPr>
            <w:tcW w:w="2667" w:type="dxa"/>
          </w:tcPr>
          <w:p w14:paraId="649DD985"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45HC</w:t>
            </w:r>
          </w:p>
        </w:tc>
      </w:tr>
      <w:tr w:rsidR="009B77D2" w:rsidRPr="00CA248E" w14:paraId="3DAE3AB5" w14:textId="77777777" w:rsidTr="00D359B7">
        <w:tc>
          <w:tcPr>
            <w:tcW w:w="861" w:type="dxa"/>
          </w:tcPr>
          <w:p w14:paraId="7AD24EF3" w14:textId="77777777" w:rsidR="009B77D2" w:rsidRPr="00CA248E" w:rsidRDefault="009B77D2" w:rsidP="009B77D2">
            <w:pPr>
              <w:rPr>
                <w:rFonts w:ascii="Arial" w:hAnsi="Arial" w:cs="Arial"/>
                <w:b/>
                <w:bCs/>
                <w:sz w:val="20"/>
                <w:szCs w:val="20"/>
              </w:rPr>
            </w:pPr>
          </w:p>
        </w:tc>
        <w:tc>
          <w:tcPr>
            <w:tcW w:w="2667" w:type="dxa"/>
          </w:tcPr>
          <w:p w14:paraId="712BB7A3" w14:textId="1E6FFCF7" w:rsidR="009B77D2" w:rsidRPr="00CA248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530CFB1" w14:textId="49484707" w:rsidR="009B77D2" w:rsidRPr="00CA248E" w:rsidRDefault="009B77D2" w:rsidP="009B77D2">
            <w:pPr>
              <w:rPr>
                <w:rFonts w:ascii="Arial" w:hAnsi="Arial" w:cs="Arial"/>
                <w:b/>
                <w:bCs/>
                <w:sz w:val="20"/>
                <w:szCs w:val="20"/>
              </w:rPr>
            </w:pPr>
            <w:r>
              <w:rPr>
                <w:rFonts w:ascii="Arial" w:hAnsi="Arial" w:cs="Arial"/>
                <w:sz w:val="20"/>
                <w:szCs w:val="20"/>
              </w:rPr>
              <w:t>CY</w:t>
            </w:r>
          </w:p>
        </w:tc>
        <w:tc>
          <w:tcPr>
            <w:tcW w:w="818" w:type="dxa"/>
          </w:tcPr>
          <w:p w14:paraId="2C9C8D4C" w14:textId="74D9B354" w:rsidR="009B77D2" w:rsidRPr="00CA248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0CE567D7" w14:textId="069AE4E8"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57CD64AB" w14:textId="7F4C599D"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7D9BCB7C" w14:textId="2F16EB39"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5CDA4C4E" w14:textId="1D4AC80B"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9B77D2" w:rsidRPr="00CA248E" w14:paraId="603710D6" w14:textId="0202039D" w:rsidTr="008457B8">
        <w:tc>
          <w:tcPr>
            <w:tcW w:w="861" w:type="dxa"/>
          </w:tcPr>
          <w:p w14:paraId="216713C4" w14:textId="77777777" w:rsidR="009B77D2" w:rsidRPr="00C76C94" w:rsidRDefault="009B77D2" w:rsidP="009B77D2">
            <w:pPr>
              <w:rPr>
                <w:rFonts w:ascii="Arial" w:hAnsi="Arial" w:cs="Arial"/>
                <w:sz w:val="20"/>
                <w:szCs w:val="20"/>
              </w:rPr>
            </w:pPr>
          </w:p>
        </w:tc>
        <w:tc>
          <w:tcPr>
            <w:tcW w:w="2667" w:type="dxa"/>
          </w:tcPr>
          <w:p w14:paraId="0A6E0B11"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66BB8C7E" w:rsidR="009B77D2" w:rsidRPr="0083667E" w:rsidRDefault="009B77D2" w:rsidP="009B77D2">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4215555C" w14:textId="419C7617" w:rsidR="009B77D2" w:rsidRPr="0083667E" w:rsidRDefault="009B77D2" w:rsidP="009B77D2">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47788562" w14:textId="6E7A9819" w:rsidR="009B77D2" w:rsidRPr="0083667E" w:rsidRDefault="009B77D2" w:rsidP="009B77D2">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75A1EE12" w14:textId="12C476EE" w:rsidR="009B77D2" w:rsidRPr="0083667E" w:rsidRDefault="009B77D2" w:rsidP="009B77D2">
            <w:pPr>
              <w:rPr>
                <w:rFonts w:ascii="Arial" w:hAnsi="Arial" w:cs="Arial"/>
                <w:color w:val="000000"/>
                <w:sz w:val="20"/>
                <w:szCs w:val="20"/>
              </w:rPr>
            </w:pPr>
            <w:r>
              <w:rPr>
                <w:rFonts w:ascii="Arial" w:hAnsi="Arial" w:cs="Arial"/>
                <w:color w:val="000000"/>
                <w:sz w:val="20"/>
                <w:szCs w:val="20"/>
              </w:rPr>
              <w:t>6600</w:t>
            </w:r>
          </w:p>
        </w:tc>
      </w:tr>
      <w:tr w:rsidR="009B77D2" w:rsidRPr="00CA248E" w14:paraId="57043DCB" w14:textId="3A39EC29" w:rsidTr="008457B8">
        <w:tc>
          <w:tcPr>
            <w:tcW w:w="861" w:type="dxa"/>
          </w:tcPr>
          <w:p w14:paraId="3B8DDBF3" w14:textId="6C118512" w:rsidR="009B77D2" w:rsidRPr="00C76C94" w:rsidRDefault="009B77D2" w:rsidP="009B77D2">
            <w:pPr>
              <w:rPr>
                <w:rFonts w:ascii="Arial" w:hAnsi="Arial" w:cs="Arial"/>
                <w:sz w:val="20"/>
                <w:szCs w:val="20"/>
              </w:rPr>
            </w:pPr>
          </w:p>
        </w:tc>
        <w:tc>
          <w:tcPr>
            <w:tcW w:w="2667" w:type="dxa"/>
          </w:tcPr>
          <w:p w14:paraId="4C3BDCEE" w14:textId="77777777" w:rsidR="009B77D2" w:rsidRPr="00C76C94" w:rsidRDefault="009B77D2" w:rsidP="009B77D2">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9B77D2" w:rsidRPr="00C76C94" w:rsidRDefault="009B77D2" w:rsidP="009B77D2">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7D0B9F8B" w:rsidR="009B77D2" w:rsidRPr="0083667E" w:rsidRDefault="009B77D2" w:rsidP="009B77D2">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162AF188" w14:textId="5E3BCD7B" w:rsidR="009B77D2" w:rsidRPr="0083667E" w:rsidRDefault="009B77D2" w:rsidP="009B77D2">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0880AC87" w14:textId="33AE3E7F" w:rsidR="009B77D2" w:rsidRPr="0083667E" w:rsidRDefault="009B77D2" w:rsidP="009B77D2">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4B675A69" w14:textId="2726FD02" w:rsidR="009B77D2" w:rsidRPr="0083667E" w:rsidRDefault="009B77D2" w:rsidP="009B77D2">
            <w:pPr>
              <w:rPr>
                <w:rFonts w:ascii="Arial" w:hAnsi="Arial" w:cs="Arial"/>
                <w:color w:val="000000"/>
                <w:sz w:val="20"/>
                <w:szCs w:val="20"/>
              </w:rPr>
            </w:pPr>
            <w:r>
              <w:rPr>
                <w:rFonts w:ascii="Arial" w:hAnsi="Arial" w:cs="Arial"/>
                <w:color w:val="000000"/>
                <w:sz w:val="20"/>
                <w:szCs w:val="20"/>
              </w:rPr>
              <w:t>4275</w:t>
            </w:r>
          </w:p>
        </w:tc>
      </w:tr>
      <w:tr w:rsidR="009B77D2" w:rsidRPr="00CA248E" w14:paraId="60A0DA36" w14:textId="7EFEDBC5" w:rsidTr="008457B8">
        <w:tc>
          <w:tcPr>
            <w:tcW w:w="861" w:type="dxa"/>
          </w:tcPr>
          <w:p w14:paraId="58C371CE" w14:textId="77777777" w:rsidR="009B77D2" w:rsidRPr="00CD5978" w:rsidRDefault="009B77D2" w:rsidP="009B77D2">
            <w:pPr>
              <w:rPr>
                <w:rFonts w:ascii="Arial" w:hAnsi="Arial"/>
                <w:sz w:val="20"/>
                <w:szCs w:val="20"/>
              </w:rPr>
            </w:pPr>
          </w:p>
        </w:tc>
        <w:tc>
          <w:tcPr>
            <w:tcW w:w="2667" w:type="dxa"/>
          </w:tcPr>
          <w:p w14:paraId="5CF1DC9A"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7BD70D3F"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04241E08" w14:textId="28E80266" w:rsidR="009B77D2" w:rsidRPr="00CD5978" w:rsidRDefault="009B77D2" w:rsidP="009B77D2">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78A0BAFF" w14:textId="01E9EA7D" w:rsidR="009B77D2" w:rsidRPr="00CD5978" w:rsidRDefault="009B77D2" w:rsidP="009B77D2">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4932BB47" w14:textId="65870699" w:rsidR="009B77D2" w:rsidRPr="00CD5978" w:rsidRDefault="009B77D2" w:rsidP="009B77D2">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3A476956" w14:textId="2A42416D" w:rsidR="009B77D2" w:rsidRPr="00CD5978" w:rsidRDefault="009B77D2" w:rsidP="009B77D2">
            <w:pPr>
              <w:rPr>
                <w:rFonts w:ascii="Arial" w:hAnsi="Arial" w:cs="Arial"/>
                <w:color w:val="000000"/>
                <w:sz w:val="20"/>
                <w:szCs w:val="20"/>
              </w:rPr>
            </w:pPr>
            <w:r>
              <w:rPr>
                <w:rFonts w:ascii="Arial" w:hAnsi="Arial" w:cs="Arial"/>
                <w:color w:val="000000"/>
                <w:sz w:val="20"/>
                <w:szCs w:val="20"/>
              </w:rPr>
              <w:t>7600</w:t>
            </w: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9B77D2" w:rsidRPr="008B2A5F" w14:paraId="5C256AF7" w14:textId="77777777" w:rsidTr="00F923CB">
        <w:tc>
          <w:tcPr>
            <w:tcW w:w="861" w:type="dxa"/>
          </w:tcPr>
          <w:p w14:paraId="336A2266" w14:textId="77777777" w:rsidR="009B77D2" w:rsidRPr="008B2A5F" w:rsidRDefault="009B77D2" w:rsidP="009B77D2">
            <w:pPr>
              <w:rPr>
                <w:rFonts w:ascii="Arial" w:hAnsi="Arial" w:cs="Arial"/>
                <w:b/>
                <w:bCs/>
                <w:sz w:val="20"/>
                <w:szCs w:val="20"/>
              </w:rPr>
            </w:pPr>
          </w:p>
        </w:tc>
        <w:tc>
          <w:tcPr>
            <w:tcW w:w="2667" w:type="dxa"/>
          </w:tcPr>
          <w:p w14:paraId="09B66093" w14:textId="1CC5D04E" w:rsidR="009B77D2" w:rsidRPr="0083667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4A39FC0" w14:textId="6BD510E2" w:rsidR="009B77D2" w:rsidRPr="0083667E" w:rsidRDefault="009B77D2" w:rsidP="009B77D2">
            <w:pPr>
              <w:rPr>
                <w:rFonts w:ascii="Arial" w:hAnsi="Arial" w:cs="Arial"/>
                <w:b/>
                <w:bCs/>
                <w:sz w:val="20"/>
                <w:szCs w:val="20"/>
              </w:rPr>
            </w:pPr>
            <w:r>
              <w:rPr>
                <w:rFonts w:ascii="Arial" w:hAnsi="Arial" w:cs="Arial"/>
                <w:sz w:val="20"/>
                <w:szCs w:val="20"/>
              </w:rPr>
              <w:t>CY</w:t>
            </w:r>
          </w:p>
        </w:tc>
        <w:tc>
          <w:tcPr>
            <w:tcW w:w="818" w:type="dxa"/>
          </w:tcPr>
          <w:p w14:paraId="04345302" w14:textId="67F5920E" w:rsidR="009B77D2" w:rsidRPr="0083667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6661276D" w14:textId="6E7E964A" w:rsidR="009B77D2" w:rsidRPr="009B77D2" w:rsidRDefault="009B77D2" w:rsidP="009B77D2">
            <w:pPr>
              <w:rPr>
                <w:rFonts w:ascii="Arial" w:hAnsi="Arial" w:cs="Arial"/>
                <w:sz w:val="20"/>
                <w:szCs w:val="20"/>
              </w:rPr>
            </w:pPr>
            <w:r w:rsidRPr="009B77D2">
              <w:rPr>
                <w:rFonts w:ascii="Arial" w:hAnsi="Arial" w:cs="Arial"/>
                <w:color w:val="000000"/>
                <w:sz w:val="20"/>
                <w:szCs w:val="20"/>
              </w:rPr>
              <w:t>3800</w:t>
            </w:r>
          </w:p>
        </w:tc>
        <w:tc>
          <w:tcPr>
            <w:tcW w:w="810" w:type="dxa"/>
            <w:vAlign w:val="bottom"/>
          </w:tcPr>
          <w:p w14:paraId="3832672D" w14:textId="09587791" w:rsidR="009B77D2" w:rsidRPr="009B77D2" w:rsidRDefault="009B77D2" w:rsidP="009B77D2">
            <w:pPr>
              <w:rPr>
                <w:rFonts w:ascii="Arial" w:hAnsi="Arial" w:cs="Arial"/>
                <w:sz w:val="20"/>
                <w:szCs w:val="20"/>
              </w:rPr>
            </w:pPr>
            <w:r w:rsidRPr="009B77D2">
              <w:rPr>
                <w:rFonts w:ascii="Arial" w:hAnsi="Arial" w:cs="Arial"/>
                <w:color w:val="000000"/>
                <w:sz w:val="20"/>
                <w:szCs w:val="20"/>
              </w:rPr>
              <w:t>4750</w:t>
            </w:r>
          </w:p>
        </w:tc>
        <w:tc>
          <w:tcPr>
            <w:tcW w:w="890" w:type="dxa"/>
            <w:vAlign w:val="bottom"/>
          </w:tcPr>
          <w:p w14:paraId="00ACF661" w14:textId="21EFB1B2" w:rsidR="009B77D2" w:rsidRPr="009B77D2" w:rsidRDefault="009B77D2" w:rsidP="009B77D2">
            <w:pPr>
              <w:rPr>
                <w:rFonts w:ascii="Arial" w:hAnsi="Arial" w:cs="Arial"/>
                <w:sz w:val="20"/>
                <w:szCs w:val="20"/>
              </w:rPr>
            </w:pPr>
            <w:r w:rsidRPr="009B77D2">
              <w:rPr>
                <w:rFonts w:ascii="Arial" w:hAnsi="Arial" w:cs="Arial"/>
                <w:color w:val="000000"/>
                <w:sz w:val="20"/>
                <w:szCs w:val="20"/>
              </w:rPr>
              <w:t>4850</w:t>
            </w:r>
          </w:p>
        </w:tc>
        <w:tc>
          <w:tcPr>
            <w:tcW w:w="839" w:type="dxa"/>
            <w:vAlign w:val="bottom"/>
          </w:tcPr>
          <w:p w14:paraId="0674903A" w14:textId="0380C01A" w:rsidR="009B77D2" w:rsidRPr="009B77D2" w:rsidRDefault="009B77D2" w:rsidP="009B77D2">
            <w:pPr>
              <w:rPr>
                <w:rFonts w:ascii="Arial" w:hAnsi="Arial" w:cs="Arial"/>
                <w:sz w:val="20"/>
                <w:szCs w:val="20"/>
              </w:rPr>
            </w:pPr>
            <w:r w:rsidRPr="009B77D2">
              <w:rPr>
                <w:rFonts w:ascii="Arial" w:hAnsi="Arial" w:cs="Arial"/>
                <w:color w:val="000000"/>
                <w:sz w:val="20"/>
                <w:szCs w:val="20"/>
              </w:rPr>
              <w:t>5100</w:t>
            </w:r>
          </w:p>
        </w:tc>
        <w:tc>
          <w:tcPr>
            <w:tcW w:w="995" w:type="dxa"/>
          </w:tcPr>
          <w:p w14:paraId="40CDC242" w14:textId="77777777" w:rsidR="009B77D2" w:rsidRDefault="009B77D2" w:rsidP="009B77D2">
            <w:pPr>
              <w:rPr>
                <w:rFonts w:ascii="Arial" w:hAnsi="Arial" w:cs="Arial"/>
                <w:b/>
                <w:bCs/>
                <w:sz w:val="20"/>
                <w:szCs w:val="20"/>
              </w:rPr>
            </w:pPr>
          </w:p>
        </w:tc>
        <w:tc>
          <w:tcPr>
            <w:tcW w:w="995" w:type="dxa"/>
          </w:tcPr>
          <w:p w14:paraId="30A2445D" w14:textId="77777777" w:rsidR="009B77D2" w:rsidRDefault="009B77D2" w:rsidP="009B77D2">
            <w:pPr>
              <w:rPr>
                <w:rFonts w:ascii="Arial" w:hAnsi="Arial" w:cs="Arial"/>
                <w:b/>
                <w:bCs/>
                <w:sz w:val="20"/>
                <w:szCs w:val="20"/>
              </w:rPr>
            </w:pPr>
          </w:p>
        </w:tc>
      </w:tr>
      <w:tr w:rsidR="009B77D2" w:rsidRPr="008B2A5F" w14:paraId="4721EEF2" w14:textId="66FDEBD9" w:rsidTr="00B05495">
        <w:tc>
          <w:tcPr>
            <w:tcW w:w="861" w:type="dxa"/>
          </w:tcPr>
          <w:p w14:paraId="22D42E6B" w14:textId="77777777" w:rsidR="009B77D2" w:rsidRPr="00C76C94" w:rsidRDefault="009B77D2" w:rsidP="009B77D2">
            <w:pPr>
              <w:rPr>
                <w:rFonts w:ascii="Arial" w:hAnsi="Arial" w:cs="Arial"/>
                <w:sz w:val="20"/>
                <w:szCs w:val="20"/>
              </w:rPr>
            </w:pPr>
          </w:p>
        </w:tc>
        <w:tc>
          <w:tcPr>
            <w:tcW w:w="2667" w:type="dxa"/>
          </w:tcPr>
          <w:p w14:paraId="41057FC2"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09601246" w:rsidR="009B77D2" w:rsidRPr="00C76C94" w:rsidRDefault="009B77D2" w:rsidP="009B77D2">
            <w:pPr>
              <w:rPr>
                <w:rFonts w:ascii="Arial" w:hAnsi="Arial" w:cs="Arial"/>
                <w:color w:val="000000"/>
                <w:sz w:val="20"/>
                <w:szCs w:val="20"/>
              </w:rPr>
            </w:pPr>
            <w:r>
              <w:rPr>
                <w:rFonts w:ascii="Arial" w:hAnsi="Arial" w:cs="Arial"/>
                <w:color w:val="000000"/>
                <w:sz w:val="20"/>
                <w:szCs w:val="20"/>
              </w:rPr>
              <w:t>4600</w:t>
            </w:r>
          </w:p>
        </w:tc>
        <w:tc>
          <w:tcPr>
            <w:tcW w:w="810" w:type="dxa"/>
            <w:vAlign w:val="bottom"/>
          </w:tcPr>
          <w:p w14:paraId="58DF0F68" w14:textId="1C1240D8" w:rsidR="009B77D2" w:rsidRPr="00C76C94" w:rsidRDefault="009B77D2" w:rsidP="009B77D2">
            <w:pPr>
              <w:rPr>
                <w:rFonts w:ascii="Arial" w:hAnsi="Arial" w:cs="Arial"/>
                <w:color w:val="000000"/>
                <w:sz w:val="20"/>
                <w:szCs w:val="20"/>
              </w:rPr>
            </w:pPr>
            <w:r>
              <w:rPr>
                <w:rFonts w:ascii="Arial" w:hAnsi="Arial" w:cs="Arial"/>
                <w:color w:val="000000"/>
                <w:sz w:val="20"/>
                <w:szCs w:val="20"/>
              </w:rPr>
              <w:t>5750</w:t>
            </w:r>
          </w:p>
        </w:tc>
        <w:tc>
          <w:tcPr>
            <w:tcW w:w="890" w:type="dxa"/>
            <w:vAlign w:val="bottom"/>
          </w:tcPr>
          <w:p w14:paraId="005EF5A8" w14:textId="6F205D48" w:rsidR="009B77D2" w:rsidRPr="00C76C94" w:rsidRDefault="009B77D2" w:rsidP="009B77D2">
            <w:pPr>
              <w:rPr>
                <w:rFonts w:ascii="Arial" w:hAnsi="Arial" w:cs="Arial"/>
                <w:color w:val="000000"/>
                <w:sz w:val="20"/>
                <w:szCs w:val="20"/>
              </w:rPr>
            </w:pPr>
            <w:r>
              <w:rPr>
                <w:rFonts w:ascii="Arial" w:hAnsi="Arial" w:cs="Arial"/>
                <w:color w:val="000000"/>
                <w:sz w:val="20"/>
                <w:szCs w:val="20"/>
              </w:rPr>
              <w:t>5850</w:t>
            </w:r>
          </w:p>
        </w:tc>
        <w:tc>
          <w:tcPr>
            <w:tcW w:w="839" w:type="dxa"/>
            <w:vAlign w:val="bottom"/>
          </w:tcPr>
          <w:p w14:paraId="5602DE95" w14:textId="0068D4B9" w:rsidR="009B77D2" w:rsidRPr="00C76C94" w:rsidRDefault="009B77D2" w:rsidP="009B77D2">
            <w:pPr>
              <w:rPr>
                <w:rFonts w:ascii="Arial" w:hAnsi="Arial" w:cs="Arial"/>
                <w:color w:val="000000"/>
                <w:sz w:val="20"/>
                <w:szCs w:val="20"/>
              </w:rPr>
            </w:pPr>
            <w:r>
              <w:rPr>
                <w:rFonts w:ascii="Arial" w:hAnsi="Arial" w:cs="Arial"/>
                <w:color w:val="000000"/>
                <w:sz w:val="20"/>
                <w:szCs w:val="20"/>
              </w:rPr>
              <w:t>6100</w:t>
            </w:r>
          </w:p>
        </w:tc>
        <w:tc>
          <w:tcPr>
            <w:tcW w:w="995" w:type="dxa"/>
            <w:vAlign w:val="bottom"/>
          </w:tcPr>
          <w:p w14:paraId="364DC504" w14:textId="76F1D2D5" w:rsidR="009B77D2" w:rsidRPr="00C76C94" w:rsidRDefault="009B77D2" w:rsidP="009B77D2">
            <w:pPr>
              <w:rPr>
                <w:rFonts w:ascii="Arial" w:hAnsi="Arial" w:cs="Arial"/>
                <w:color w:val="000000"/>
                <w:sz w:val="20"/>
                <w:szCs w:val="20"/>
              </w:rPr>
            </w:pPr>
          </w:p>
        </w:tc>
        <w:tc>
          <w:tcPr>
            <w:tcW w:w="995" w:type="dxa"/>
            <w:vAlign w:val="bottom"/>
          </w:tcPr>
          <w:p w14:paraId="608BF47B" w14:textId="454804ED" w:rsidR="009B77D2" w:rsidRPr="00C76C94" w:rsidRDefault="009B77D2" w:rsidP="009B77D2">
            <w:pPr>
              <w:rPr>
                <w:rFonts w:ascii="Arial" w:hAnsi="Arial" w:cs="Arial"/>
                <w:color w:val="000000"/>
                <w:sz w:val="20"/>
                <w:szCs w:val="20"/>
              </w:rPr>
            </w:pPr>
          </w:p>
        </w:tc>
      </w:tr>
      <w:tr w:rsidR="009B77D2" w:rsidRPr="008B2A5F" w14:paraId="7AFEB940" w14:textId="742EFE34" w:rsidTr="00B05495">
        <w:tc>
          <w:tcPr>
            <w:tcW w:w="861" w:type="dxa"/>
          </w:tcPr>
          <w:p w14:paraId="7BD88297" w14:textId="16363486" w:rsidR="009B77D2" w:rsidRPr="00CD5978" w:rsidRDefault="009B77D2" w:rsidP="009B77D2">
            <w:pPr>
              <w:rPr>
                <w:rFonts w:ascii="Arial" w:hAnsi="Arial" w:cs="Arial"/>
                <w:sz w:val="20"/>
                <w:szCs w:val="20"/>
              </w:rPr>
            </w:pPr>
          </w:p>
        </w:tc>
        <w:tc>
          <w:tcPr>
            <w:tcW w:w="2667" w:type="dxa"/>
          </w:tcPr>
          <w:p w14:paraId="3C16E267" w14:textId="77777777" w:rsidR="009B77D2" w:rsidRPr="00CD5978" w:rsidRDefault="009B77D2" w:rsidP="009B77D2">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1331AA9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2740</w:t>
            </w:r>
          </w:p>
        </w:tc>
        <w:tc>
          <w:tcPr>
            <w:tcW w:w="810" w:type="dxa"/>
            <w:vAlign w:val="bottom"/>
          </w:tcPr>
          <w:p w14:paraId="3F5EF14F" w14:textId="1EE304FB"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3425</w:t>
            </w:r>
          </w:p>
        </w:tc>
        <w:tc>
          <w:tcPr>
            <w:tcW w:w="890" w:type="dxa"/>
            <w:vAlign w:val="bottom"/>
          </w:tcPr>
          <w:p w14:paraId="385C3A18" w14:textId="4CCF7E6D"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3525</w:t>
            </w:r>
          </w:p>
        </w:tc>
        <w:tc>
          <w:tcPr>
            <w:tcW w:w="839" w:type="dxa"/>
            <w:vAlign w:val="bottom"/>
          </w:tcPr>
          <w:p w14:paraId="452D6EC1" w14:textId="49D2A4AC"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3775</w:t>
            </w:r>
          </w:p>
        </w:tc>
        <w:tc>
          <w:tcPr>
            <w:tcW w:w="995" w:type="dxa"/>
            <w:vAlign w:val="bottom"/>
          </w:tcPr>
          <w:p w14:paraId="49DB03D5" w14:textId="07BFF83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2192</w:t>
            </w:r>
          </w:p>
        </w:tc>
        <w:tc>
          <w:tcPr>
            <w:tcW w:w="995" w:type="dxa"/>
            <w:vAlign w:val="bottom"/>
          </w:tcPr>
          <w:p w14:paraId="722ECE6E" w14:textId="44379C6E"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3083</w:t>
            </w:r>
          </w:p>
        </w:tc>
      </w:tr>
      <w:tr w:rsidR="009B77D2" w:rsidRPr="008B2A5F" w14:paraId="3AF78FA5" w14:textId="77777777" w:rsidTr="00B05495">
        <w:tc>
          <w:tcPr>
            <w:tcW w:w="861" w:type="dxa"/>
          </w:tcPr>
          <w:p w14:paraId="46BA01E0" w14:textId="77777777" w:rsidR="009B77D2" w:rsidRPr="00CD5978" w:rsidRDefault="009B77D2" w:rsidP="009B77D2">
            <w:pPr>
              <w:rPr>
                <w:rFonts w:ascii="Arial" w:hAnsi="Arial" w:cs="Arial"/>
                <w:sz w:val="20"/>
                <w:szCs w:val="20"/>
              </w:rPr>
            </w:pPr>
          </w:p>
        </w:tc>
        <w:tc>
          <w:tcPr>
            <w:tcW w:w="2667" w:type="dxa"/>
          </w:tcPr>
          <w:p w14:paraId="68E6C67D" w14:textId="3FB1E41F" w:rsidR="009B77D2" w:rsidRPr="00CD5978" w:rsidRDefault="009B77D2" w:rsidP="009B77D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4F5E3D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2420</w:t>
            </w:r>
          </w:p>
        </w:tc>
        <w:tc>
          <w:tcPr>
            <w:tcW w:w="810" w:type="dxa"/>
            <w:vAlign w:val="bottom"/>
          </w:tcPr>
          <w:p w14:paraId="513E4ADB" w14:textId="7D3C2A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3025</w:t>
            </w:r>
          </w:p>
        </w:tc>
        <w:tc>
          <w:tcPr>
            <w:tcW w:w="890" w:type="dxa"/>
            <w:vAlign w:val="bottom"/>
          </w:tcPr>
          <w:p w14:paraId="5DCA8501" w14:textId="31287D83"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3125</w:t>
            </w:r>
          </w:p>
        </w:tc>
        <w:tc>
          <w:tcPr>
            <w:tcW w:w="839" w:type="dxa"/>
            <w:vAlign w:val="bottom"/>
          </w:tcPr>
          <w:p w14:paraId="3D5D6236" w14:textId="0761CB98"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3375</w:t>
            </w:r>
          </w:p>
        </w:tc>
        <w:tc>
          <w:tcPr>
            <w:tcW w:w="995" w:type="dxa"/>
            <w:vAlign w:val="bottom"/>
          </w:tcPr>
          <w:p w14:paraId="428D8C35" w14:textId="304F6202"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1936</w:t>
            </w:r>
          </w:p>
        </w:tc>
        <w:tc>
          <w:tcPr>
            <w:tcW w:w="995" w:type="dxa"/>
            <w:vAlign w:val="bottom"/>
          </w:tcPr>
          <w:p w14:paraId="4B4897E2" w14:textId="07E5674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2723</w:t>
            </w:r>
          </w:p>
        </w:tc>
      </w:tr>
      <w:tr w:rsidR="009B77D2" w:rsidRPr="008B2A5F" w14:paraId="7698195C" w14:textId="08B239D1" w:rsidTr="00B05495">
        <w:tc>
          <w:tcPr>
            <w:tcW w:w="861" w:type="dxa"/>
          </w:tcPr>
          <w:p w14:paraId="1915D5F9" w14:textId="77777777" w:rsidR="009B77D2" w:rsidRPr="00CD5978" w:rsidRDefault="009B77D2" w:rsidP="009B77D2">
            <w:pPr>
              <w:rPr>
                <w:rFonts w:ascii="Arial" w:hAnsi="Arial"/>
                <w:sz w:val="20"/>
                <w:szCs w:val="20"/>
              </w:rPr>
            </w:pPr>
          </w:p>
        </w:tc>
        <w:tc>
          <w:tcPr>
            <w:tcW w:w="2667" w:type="dxa"/>
          </w:tcPr>
          <w:p w14:paraId="75BE5F89"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4E59778C"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594C1D69" w14:textId="546C7AF1" w:rsidR="009B77D2" w:rsidRPr="00CD5978" w:rsidRDefault="009B77D2" w:rsidP="009B77D2">
            <w:pPr>
              <w:rPr>
                <w:rFonts w:ascii="Arial" w:hAnsi="Arial" w:cs="Arial"/>
                <w:color w:val="000000"/>
                <w:sz w:val="20"/>
                <w:szCs w:val="20"/>
              </w:rPr>
            </w:pPr>
            <w:r>
              <w:rPr>
                <w:rFonts w:ascii="Arial" w:hAnsi="Arial" w:cs="Arial"/>
                <w:color w:val="000000"/>
                <w:sz w:val="20"/>
                <w:szCs w:val="20"/>
              </w:rPr>
              <w:t>5400</w:t>
            </w:r>
          </w:p>
        </w:tc>
        <w:tc>
          <w:tcPr>
            <w:tcW w:w="810" w:type="dxa"/>
            <w:vAlign w:val="bottom"/>
          </w:tcPr>
          <w:p w14:paraId="58112008" w14:textId="28CFB058" w:rsidR="009B77D2" w:rsidRPr="00CD5978" w:rsidRDefault="009B77D2" w:rsidP="009B77D2">
            <w:pPr>
              <w:rPr>
                <w:rFonts w:ascii="Arial" w:hAnsi="Arial" w:cs="Arial"/>
                <w:color w:val="000000"/>
                <w:sz w:val="20"/>
                <w:szCs w:val="20"/>
              </w:rPr>
            </w:pPr>
            <w:r>
              <w:rPr>
                <w:rFonts w:ascii="Arial" w:hAnsi="Arial" w:cs="Arial"/>
                <w:color w:val="000000"/>
                <w:sz w:val="20"/>
                <w:szCs w:val="20"/>
              </w:rPr>
              <w:t>6750</w:t>
            </w:r>
          </w:p>
        </w:tc>
        <w:tc>
          <w:tcPr>
            <w:tcW w:w="890" w:type="dxa"/>
            <w:vAlign w:val="bottom"/>
          </w:tcPr>
          <w:p w14:paraId="2406B969" w14:textId="7C5DC0E4" w:rsidR="009B77D2" w:rsidRPr="00CD5978" w:rsidRDefault="009B77D2" w:rsidP="009B77D2">
            <w:pPr>
              <w:rPr>
                <w:rFonts w:ascii="Arial" w:hAnsi="Arial" w:cs="Arial"/>
                <w:color w:val="000000"/>
                <w:sz w:val="20"/>
                <w:szCs w:val="20"/>
              </w:rPr>
            </w:pPr>
            <w:r>
              <w:rPr>
                <w:rFonts w:ascii="Arial" w:hAnsi="Arial" w:cs="Arial"/>
                <w:color w:val="000000"/>
                <w:sz w:val="20"/>
                <w:szCs w:val="20"/>
              </w:rPr>
              <w:t>6850</w:t>
            </w:r>
          </w:p>
        </w:tc>
        <w:tc>
          <w:tcPr>
            <w:tcW w:w="839" w:type="dxa"/>
            <w:vAlign w:val="bottom"/>
          </w:tcPr>
          <w:p w14:paraId="3103B734" w14:textId="181C6196" w:rsidR="009B77D2" w:rsidRPr="00CD5978" w:rsidRDefault="009B77D2" w:rsidP="009B77D2">
            <w:pPr>
              <w:rPr>
                <w:rFonts w:ascii="Arial" w:hAnsi="Arial" w:cs="Arial"/>
                <w:color w:val="000000"/>
                <w:sz w:val="20"/>
                <w:szCs w:val="20"/>
              </w:rPr>
            </w:pPr>
            <w:r>
              <w:rPr>
                <w:rFonts w:ascii="Arial" w:hAnsi="Arial" w:cs="Arial"/>
                <w:color w:val="000000"/>
                <w:sz w:val="20"/>
                <w:szCs w:val="20"/>
              </w:rPr>
              <w:t>7100</w:t>
            </w:r>
          </w:p>
        </w:tc>
        <w:tc>
          <w:tcPr>
            <w:tcW w:w="995" w:type="dxa"/>
            <w:vAlign w:val="bottom"/>
          </w:tcPr>
          <w:p w14:paraId="3860B11C" w14:textId="67EE3946" w:rsidR="009B77D2" w:rsidRPr="00CD5978" w:rsidRDefault="009B77D2" w:rsidP="009B77D2">
            <w:pPr>
              <w:rPr>
                <w:rFonts w:ascii="Arial" w:hAnsi="Arial" w:cs="Arial"/>
                <w:color w:val="000000"/>
                <w:sz w:val="20"/>
                <w:szCs w:val="20"/>
              </w:rPr>
            </w:pPr>
          </w:p>
        </w:tc>
        <w:tc>
          <w:tcPr>
            <w:tcW w:w="995" w:type="dxa"/>
            <w:vAlign w:val="bottom"/>
          </w:tcPr>
          <w:p w14:paraId="70776320" w14:textId="1DEB537A" w:rsidR="009B77D2" w:rsidRPr="00CD5978" w:rsidRDefault="009B77D2" w:rsidP="009B77D2">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5D322A"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5D322A" w:rsidRPr="00653A21" w:rsidRDefault="005D322A" w:rsidP="005D322A">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5D322A" w:rsidRPr="00653A21" w:rsidRDefault="005D322A" w:rsidP="005D322A">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5D322A" w:rsidRPr="00653A21" w:rsidRDefault="005D322A" w:rsidP="005D322A">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5D322A" w:rsidRPr="00653A21" w:rsidRDefault="005D322A" w:rsidP="005D322A">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6AF2E46D"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6920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33417443"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8650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74396169"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8750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3A12E27"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9000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bookmarkEnd w:id="1"/>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City">
        <w:smartTag w:uri="urn:schemas-microsoft-com:office:smarttags" w:element="place">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1"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9479D5" w:rsidRPr="00761F83" w14:paraId="7C5A6DA2" w14:textId="77777777" w:rsidTr="00DE5F0F">
        <w:tc>
          <w:tcPr>
            <w:tcW w:w="796" w:type="dxa"/>
            <w:shd w:val="clear" w:color="auto" w:fill="auto"/>
          </w:tcPr>
          <w:p w14:paraId="56FC45DC" w14:textId="77777777" w:rsidR="009479D5" w:rsidRPr="00761F83" w:rsidRDefault="009479D5" w:rsidP="00DE5F0F">
            <w:pPr>
              <w:rPr>
                <w:rFonts w:ascii="Arial" w:hAnsi="Arial" w:cs="Arial"/>
                <w:b/>
                <w:sz w:val="20"/>
                <w:szCs w:val="20"/>
              </w:rPr>
            </w:pPr>
          </w:p>
        </w:tc>
        <w:tc>
          <w:tcPr>
            <w:tcW w:w="2012" w:type="dxa"/>
            <w:shd w:val="clear" w:color="auto" w:fill="auto"/>
          </w:tcPr>
          <w:p w14:paraId="2710F21F" w14:textId="77777777" w:rsidR="009479D5" w:rsidRPr="00761F83" w:rsidRDefault="009479D5" w:rsidP="00DE5F0F">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50256A00" w14:textId="77777777" w:rsidR="009479D5" w:rsidRPr="00761F83" w:rsidRDefault="009479D5" w:rsidP="00DE5F0F">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46605A91" w14:textId="77777777" w:rsidR="009479D5" w:rsidRPr="00761F83" w:rsidRDefault="009479D5" w:rsidP="00DE5F0F">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797F3AF9" w14:textId="77777777" w:rsidR="009479D5" w:rsidRPr="00761F83" w:rsidRDefault="009479D5" w:rsidP="00DE5F0F">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21065B8B" w14:textId="77777777" w:rsidR="009479D5" w:rsidRPr="00761F83" w:rsidRDefault="009479D5" w:rsidP="00DE5F0F">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0BF2AB5B" w14:textId="77777777" w:rsidR="009479D5" w:rsidRPr="00761F83" w:rsidRDefault="009479D5" w:rsidP="00DE5F0F">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77A47CF3" w14:textId="77777777" w:rsidR="009479D5" w:rsidRPr="00761F83" w:rsidRDefault="009479D5" w:rsidP="00DE5F0F">
            <w:pPr>
              <w:rPr>
                <w:rFonts w:ascii="Arial" w:hAnsi="Arial" w:cs="Arial"/>
                <w:b/>
                <w:sz w:val="20"/>
                <w:szCs w:val="20"/>
              </w:rPr>
            </w:pPr>
            <w:r w:rsidRPr="00761F83">
              <w:rPr>
                <w:rFonts w:ascii="Arial" w:hAnsi="Arial" w:cs="Arial"/>
                <w:b/>
                <w:sz w:val="20"/>
                <w:szCs w:val="20"/>
              </w:rPr>
              <w:t>Expires</w:t>
            </w:r>
          </w:p>
        </w:tc>
      </w:tr>
      <w:tr w:rsidR="009479D5" w:rsidRPr="00761F83" w14:paraId="4F48895B" w14:textId="77777777" w:rsidTr="00DE5F0F">
        <w:tc>
          <w:tcPr>
            <w:tcW w:w="796" w:type="dxa"/>
            <w:shd w:val="clear" w:color="auto" w:fill="auto"/>
          </w:tcPr>
          <w:p w14:paraId="342CEDB1" w14:textId="77777777" w:rsidR="009479D5" w:rsidRPr="00E9404A" w:rsidRDefault="009479D5" w:rsidP="00DE5F0F">
            <w:pPr>
              <w:rPr>
                <w:rFonts w:ascii="Arial" w:hAnsi="Arial" w:cs="Arial"/>
                <w:sz w:val="20"/>
                <w:szCs w:val="20"/>
              </w:rPr>
            </w:pPr>
          </w:p>
        </w:tc>
        <w:tc>
          <w:tcPr>
            <w:tcW w:w="2012" w:type="dxa"/>
            <w:shd w:val="clear" w:color="auto" w:fill="auto"/>
          </w:tcPr>
          <w:p w14:paraId="3AA7734C" w14:textId="77777777" w:rsidR="009479D5" w:rsidRPr="00E9404A" w:rsidRDefault="009479D5" w:rsidP="00DE5F0F">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vAlign w:val="bottom"/>
          </w:tcPr>
          <w:p w14:paraId="44FEF5D6" w14:textId="77777777" w:rsidR="009479D5" w:rsidRPr="00170BC6" w:rsidRDefault="009479D5" w:rsidP="00DE5F0F">
            <w:pPr>
              <w:rPr>
                <w:rFonts w:ascii="Arial" w:hAnsi="Arial" w:cs="Arial"/>
                <w:sz w:val="20"/>
                <w:szCs w:val="20"/>
              </w:rPr>
            </w:pPr>
            <w:r w:rsidRPr="00170BC6">
              <w:rPr>
                <w:rFonts w:ascii="Arial" w:hAnsi="Arial" w:cs="Arial"/>
                <w:sz w:val="20"/>
                <w:szCs w:val="20"/>
              </w:rPr>
              <w:t>451</w:t>
            </w:r>
          </w:p>
        </w:tc>
        <w:tc>
          <w:tcPr>
            <w:tcW w:w="751" w:type="dxa"/>
            <w:shd w:val="clear" w:color="auto" w:fill="auto"/>
            <w:vAlign w:val="bottom"/>
          </w:tcPr>
          <w:p w14:paraId="0429FAAC" w14:textId="77777777" w:rsidR="009479D5" w:rsidRPr="00170BC6" w:rsidRDefault="009479D5" w:rsidP="00DE5F0F">
            <w:pPr>
              <w:rPr>
                <w:rFonts w:ascii="Arial" w:hAnsi="Arial" w:cs="Arial"/>
                <w:sz w:val="20"/>
                <w:szCs w:val="20"/>
              </w:rPr>
            </w:pPr>
            <w:r w:rsidRPr="00170BC6">
              <w:rPr>
                <w:rFonts w:ascii="Arial" w:hAnsi="Arial" w:cs="Arial"/>
                <w:sz w:val="20"/>
                <w:szCs w:val="20"/>
              </w:rPr>
              <w:t>564</w:t>
            </w:r>
          </w:p>
        </w:tc>
        <w:tc>
          <w:tcPr>
            <w:tcW w:w="826" w:type="dxa"/>
            <w:shd w:val="clear" w:color="auto" w:fill="auto"/>
            <w:vAlign w:val="bottom"/>
          </w:tcPr>
          <w:p w14:paraId="5982497C" w14:textId="77777777" w:rsidR="009479D5" w:rsidRPr="00170BC6" w:rsidRDefault="009479D5" w:rsidP="00DE5F0F">
            <w:pPr>
              <w:rPr>
                <w:rFonts w:ascii="Arial" w:hAnsi="Arial" w:cs="Arial"/>
                <w:sz w:val="20"/>
                <w:szCs w:val="20"/>
              </w:rPr>
            </w:pPr>
            <w:r w:rsidRPr="00170BC6">
              <w:rPr>
                <w:rFonts w:ascii="Arial" w:hAnsi="Arial" w:cs="Arial"/>
                <w:sz w:val="20"/>
                <w:szCs w:val="20"/>
              </w:rPr>
              <w:t>635</w:t>
            </w:r>
          </w:p>
        </w:tc>
        <w:tc>
          <w:tcPr>
            <w:tcW w:w="809" w:type="dxa"/>
            <w:shd w:val="clear" w:color="auto" w:fill="auto"/>
            <w:vAlign w:val="bottom"/>
          </w:tcPr>
          <w:p w14:paraId="764A124E" w14:textId="77777777" w:rsidR="009479D5" w:rsidRPr="00170BC6" w:rsidRDefault="009479D5" w:rsidP="00DE5F0F">
            <w:pPr>
              <w:rPr>
                <w:rFonts w:ascii="Arial" w:hAnsi="Arial" w:cs="Arial"/>
                <w:sz w:val="20"/>
                <w:szCs w:val="20"/>
              </w:rPr>
            </w:pPr>
            <w:r w:rsidRPr="00170BC6">
              <w:rPr>
                <w:rFonts w:ascii="Arial" w:hAnsi="Arial" w:cs="Arial"/>
                <w:sz w:val="20"/>
                <w:szCs w:val="20"/>
              </w:rPr>
              <w:t>714</w:t>
            </w:r>
          </w:p>
        </w:tc>
        <w:tc>
          <w:tcPr>
            <w:tcW w:w="1827" w:type="dxa"/>
            <w:shd w:val="clear" w:color="auto" w:fill="auto"/>
          </w:tcPr>
          <w:p w14:paraId="12AD28A2" w14:textId="77777777" w:rsidR="009479D5" w:rsidRPr="00E9404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17FC90B7" w14:textId="77777777" w:rsidR="009479D5" w:rsidRPr="00E9404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r w:rsidR="003E0F62" w:rsidRPr="00761F83" w14:paraId="374D3C78" w14:textId="77777777" w:rsidTr="00DE5F0F">
        <w:tc>
          <w:tcPr>
            <w:tcW w:w="796" w:type="dxa"/>
            <w:shd w:val="clear" w:color="auto" w:fill="auto"/>
          </w:tcPr>
          <w:p w14:paraId="2CCA4FD6" w14:textId="42D00C25" w:rsidR="003E0F62" w:rsidRPr="00864A14" w:rsidRDefault="003E0F62" w:rsidP="003E0F62">
            <w:pPr>
              <w:rPr>
                <w:rFonts w:ascii="Arial" w:hAnsi="Arial" w:cs="Arial"/>
                <w:bCs/>
                <w:sz w:val="20"/>
                <w:szCs w:val="20"/>
              </w:rPr>
            </w:pPr>
            <w:r w:rsidRPr="00864A14">
              <w:rPr>
                <w:rFonts w:ascii="Arial" w:hAnsi="Arial" w:cs="Arial"/>
                <w:bCs/>
                <w:sz w:val="20"/>
                <w:szCs w:val="20"/>
              </w:rPr>
              <w:t>AM2</w:t>
            </w:r>
          </w:p>
        </w:tc>
        <w:tc>
          <w:tcPr>
            <w:tcW w:w="2012" w:type="dxa"/>
            <w:shd w:val="clear" w:color="auto" w:fill="auto"/>
          </w:tcPr>
          <w:p w14:paraId="68658E2B" w14:textId="77777777" w:rsidR="003E0F62" w:rsidRPr="00864A14" w:rsidRDefault="003E0F62" w:rsidP="003E0F62">
            <w:pPr>
              <w:ind w:right="-514"/>
              <w:rPr>
                <w:rFonts w:ascii="Arial" w:hAnsi="Arial" w:cs="Arial"/>
                <w:bCs/>
                <w:sz w:val="20"/>
                <w:szCs w:val="20"/>
              </w:rPr>
            </w:pPr>
            <w:r w:rsidRPr="00864A14">
              <w:rPr>
                <w:rFonts w:ascii="Arial" w:hAnsi="Arial" w:cs="Arial"/>
                <w:bCs/>
                <w:sz w:val="20"/>
                <w:szCs w:val="20"/>
              </w:rPr>
              <w:t>USA</w:t>
            </w:r>
          </w:p>
        </w:tc>
        <w:tc>
          <w:tcPr>
            <w:tcW w:w="682" w:type="dxa"/>
            <w:shd w:val="clear" w:color="auto" w:fill="auto"/>
            <w:vAlign w:val="bottom"/>
          </w:tcPr>
          <w:p w14:paraId="1B0C0820" w14:textId="2AF72C3C" w:rsidR="003E0F62" w:rsidRPr="00864A14" w:rsidRDefault="003E0F62" w:rsidP="003E0F62">
            <w:pPr>
              <w:rPr>
                <w:rFonts w:ascii="Arial" w:hAnsi="Arial" w:cs="Arial"/>
                <w:bCs/>
                <w:sz w:val="20"/>
                <w:szCs w:val="20"/>
              </w:rPr>
            </w:pPr>
            <w:r w:rsidRPr="00864A14">
              <w:rPr>
                <w:rFonts w:ascii="Arial" w:hAnsi="Arial" w:cs="Arial"/>
                <w:bCs/>
                <w:sz w:val="20"/>
                <w:szCs w:val="20"/>
              </w:rPr>
              <w:t>461</w:t>
            </w:r>
          </w:p>
        </w:tc>
        <w:tc>
          <w:tcPr>
            <w:tcW w:w="751" w:type="dxa"/>
            <w:shd w:val="clear" w:color="auto" w:fill="auto"/>
            <w:vAlign w:val="bottom"/>
          </w:tcPr>
          <w:p w14:paraId="37A07ACF" w14:textId="3991FCA6" w:rsidR="003E0F62" w:rsidRPr="00864A14" w:rsidRDefault="003E0F62" w:rsidP="003E0F62">
            <w:pPr>
              <w:rPr>
                <w:rFonts w:ascii="Arial" w:hAnsi="Arial" w:cs="Arial"/>
                <w:bCs/>
                <w:sz w:val="20"/>
                <w:szCs w:val="20"/>
              </w:rPr>
            </w:pPr>
            <w:r w:rsidRPr="00864A14">
              <w:rPr>
                <w:rFonts w:ascii="Arial" w:hAnsi="Arial" w:cs="Arial"/>
                <w:bCs/>
                <w:sz w:val="20"/>
                <w:szCs w:val="20"/>
              </w:rPr>
              <w:t>576</w:t>
            </w:r>
          </w:p>
        </w:tc>
        <w:tc>
          <w:tcPr>
            <w:tcW w:w="826" w:type="dxa"/>
            <w:shd w:val="clear" w:color="auto" w:fill="auto"/>
            <w:vAlign w:val="bottom"/>
          </w:tcPr>
          <w:p w14:paraId="2294201B" w14:textId="0F72921A" w:rsidR="003E0F62" w:rsidRPr="00864A14" w:rsidRDefault="003E0F62" w:rsidP="003E0F62">
            <w:pPr>
              <w:rPr>
                <w:rFonts w:ascii="Arial" w:hAnsi="Arial" w:cs="Arial"/>
                <w:bCs/>
                <w:sz w:val="20"/>
                <w:szCs w:val="20"/>
              </w:rPr>
            </w:pPr>
            <w:r w:rsidRPr="00864A14">
              <w:rPr>
                <w:rFonts w:ascii="Arial" w:hAnsi="Arial" w:cs="Arial"/>
                <w:bCs/>
                <w:sz w:val="20"/>
                <w:szCs w:val="20"/>
              </w:rPr>
              <w:t>648</w:t>
            </w:r>
          </w:p>
        </w:tc>
        <w:tc>
          <w:tcPr>
            <w:tcW w:w="809" w:type="dxa"/>
            <w:shd w:val="clear" w:color="auto" w:fill="auto"/>
            <w:vAlign w:val="bottom"/>
          </w:tcPr>
          <w:p w14:paraId="27A07B89" w14:textId="0A4F9761" w:rsidR="003E0F62" w:rsidRPr="00864A14" w:rsidRDefault="003E0F62" w:rsidP="003E0F62">
            <w:pPr>
              <w:rPr>
                <w:rFonts w:ascii="Arial" w:hAnsi="Arial" w:cs="Arial"/>
                <w:bCs/>
                <w:sz w:val="20"/>
                <w:szCs w:val="20"/>
              </w:rPr>
            </w:pPr>
            <w:r w:rsidRPr="00864A14">
              <w:rPr>
                <w:rFonts w:ascii="Arial" w:hAnsi="Arial" w:cs="Arial"/>
                <w:bCs/>
                <w:sz w:val="20"/>
                <w:szCs w:val="20"/>
              </w:rPr>
              <w:t>729</w:t>
            </w:r>
          </w:p>
        </w:tc>
        <w:tc>
          <w:tcPr>
            <w:tcW w:w="1827" w:type="dxa"/>
            <w:shd w:val="clear" w:color="auto" w:fill="auto"/>
          </w:tcPr>
          <w:p w14:paraId="52AFF46F"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July 1, 202</w:t>
            </w:r>
            <w:r>
              <w:rPr>
                <w:rFonts w:ascii="Arial" w:hAnsi="Arial" w:cs="Arial"/>
                <w:bCs/>
                <w:sz w:val="20"/>
                <w:szCs w:val="20"/>
              </w:rPr>
              <w:t>4</w:t>
            </w:r>
          </w:p>
        </w:tc>
        <w:tc>
          <w:tcPr>
            <w:tcW w:w="2121" w:type="dxa"/>
            <w:shd w:val="clear" w:color="auto" w:fill="auto"/>
          </w:tcPr>
          <w:p w14:paraId="434132F8"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September 30, 202</w:t>
            </w:r>
            <w:r>
              <w:rPr>
                <w:rFonts w:ascii="Arial" w:hAnsi="Arial" w:cs="Arial"/>
                <w:bCs/>
                <w:sz w:val="20"/>
                <w:szCs w:val="20"/>
              </w:rPr>
              <w:t>4</w:t>
            </w:r>
          </w:p>
        </w:tc>
      </w:tr>
      <w:tr w:rsidR="009479D5" w:rsidRPr="00761F83" w14:paraId="559C16E7" w14:textId="77777777" w:rsidTr="00DE5F0F">
        <w:tc>
          <w:tcPr>
            <w:tcW w:w="796" w:type="dxa"/>
            <w:shd w:val="clear" w:color="auto" w:fill="auto"/>
          </w:tcPr>
          <w:p w14:paraId="2915A269" w14:textId="044F9FE9" w:rsidR="009479D5" w:rsidRPr="00B46F27" w:rsidRDefault="005A162B" w:rsidP="00DE5F0F">
            <w:pPr>
              <w:rPr>
                <w:rFonts w:ascii="Arial" w:hAnsi="Arial" w:cs="Arial"/>
                <w:bCs/>
                <w:sz w:val="20"/>
                <w:szCs w:val="20"/>
              </w:rPr>
            </w:pPr>
            <w:r w:rsidRPr="00B46F27">
              <w:rPr>
                <w:rFonts w:ascii="Arial" w:hAnsi="Arial" w:cs="Arial"/>
                <w:bCs/>
                <w:sz w:val="20"/>
                <w:szCs w:val="20"/>
              </w:rPr>
              <w:t>AM4</w:t>
            </w:r>
          </w:p>
        </w:tc>
        <w:tc>
          <w:tcPr>
            <w:tcW w:w="2012" w:type="dxa"/>
            <w:shd w:val="clear" w:color="auto" w:fill="auto"/>
          </w:tcPr>
          <w:p w14:paraId="3E044F51" w14:textId="77777777" w:rsidR="009479D5" w:rsidRPr="00B46F27" w:rsidRDefault="009479D5" w:rsidP="00DE5F0F">
            <w:pPr>
              <w:ind w:right="-514"/>
              <w:rPr>
                <w:rFonts w:ascii="Arial" w:hAnsi="Arial" w:cs="Arial"/>
                <w:bCs/>
                <w:sz w:val="20"/>
                <w:szCs w:val="20"/>
              </w:rPr>
            </w:pPr>
            <w:r w:rsidRPr="00B46F27">
              <w:rPr>
                <w:rFonts w:ascii="Arial" w:hAnsi="Arial" w:cs="Arial"/>
                <w:bCs/>
                <w:sz w:val="20"/>
                <w:szCs w:val="20"/>
              </w:rPr>
              <w:t>USA</w:t>
            </w:r>
          </w:p>
        </w:tc>
        <w:tc>
          <w:tcPr>
            <w:tcW w:w="682" w:type="dxa"/>
            <w:shd w:val="clear" w:color="auto" w:fill="auto"/>
            <w:vAlign w:val="bottom"/>
          </w:tcPr>
          <w:p w14:paraId="4663A09B" w14:textId="032B14A3" w:rsidR="009479D5" w:rsidRPr="00B46F27" w:rsidRDefault="005A162B" w:rsidP="00DE5F0F">
            <w:pPr>
              <w:rPr>
                <w:rFonts w:ascii="Arial" w:hAnsi="Arial" w:cs="Arial"/>
                <w:bCs/>
                <w:sz w:val="20"/>
                <w:szCs w:val="20"/>
              </w:rPr>
            </w:pPr>
            <w:r w:rsidRPr="00B46F27">
              <w:rPr>
                <w:rFonts w:ascii="Arial" w:hAnsi="Arial" w:cs="Arial"/>
                <w:bCs/>
                <w:sz w:val="20"/>
                <w:szCs w:val="20"/>
              </w:rPr>
              <w:t>442</w:t>
            </w:r>
          </w:p>
        </w:tc>
        <w:tc>
          <w:tcPr>
            <w:tcW w:w="751" w:type="dxa"/>
            <w:shd w:val="clear" w:color="auto" w:fill="auto"/>
            <w:vAlign w:val="bottom"/>
          </w:tcPr>
          <w:p w14:paraId="77152D67" w14:textId="7AB4F1C4" w:rsidR="009479D5" w:rsidRPr="00B46F27" w:rsidRDefault="005A162B" w:rsidP="00DE5F0F">
            <w:pPr>
              <w:rPr>
                <w:rFonts w:ascii="Arial" w:hAnsi="Arial" w:cs="Arial"/>
                <w:bCs/>
                <w:sz w:val="20"/>
                <w:szCs w:val="20"/>
              </w:rPr>
            </w:pPr>
            <w:r w:rsidRPr="00B46F27">
              <w:rPr>
                <w:rFonts w:ascii="Arial" w:hAnsi="Arial" w:cs="Arial"/>
                <w:bCs/>
                <w:sz w:val="20"/>
                <w:szCs w:val="20"/>
              </w:rPr>
              <w:t>552</w:t>
            </w:r>
          </w:p>
        </w:tc>
        <w:tc>
          <w:tcPr>
            <w:tcW w:w="826" w:type="dxa"/>
            <w:shd w:val="clear" w:color="auto" w:fill="auto"/>
            <w:vAlign w:val="bottom"/>
          </w:tcPr>
          <w:p w14:paraId="027BB31F" w14:textId="43CD9996" w:rsidR="009479D5" w:rsidRPr="00B46F27" w:rsidRDefault="005A162B" w:rsidP="00DE5F0F">
            <w:pPr>
              <w:rPr>
                <w:rFonts w:ascii="Arial" w:hAnsi="Arial" w:cs="Arial"/>
                <w:bCs/>
                <w:sz w:val="20"/>
                <w:szCs w:val="20"/>
              </w:rPr>
            </w:pPr>
            <w:r w:rsidRPr="00B46F27">
              <w:rPr>
                <w:rFonts w:ascii="Arial" w:hAnsi="Arial" w:cs="Arial"/>
                <w:bCs/>
                <w:sz w:val="20"/>
                <w:szCs w:val="20"/>
              </w:rPr>
              <w:t>621</w:t>
            </w:r>
          </w:p>
        </w:tc>
        <w:tc>
          <w:tcPr>
            <w:tcW w:w="809" w:type="dxa"/>
            <w:shd w:val="clear" w:color="auto" w:fill="auto"/>
            <w:vAlign w:val="bottom"/>
          </w:tcPr>
          <w:p w14:paraId="5E93528C" w14:textId="4CB433EB" w:rsidR="009479D5" w:rsidRPr="00B46F27" w:rsidRDefault="005A162B" w:rsidP="00DE5F0F">
            <w:pPr>
              <w:rPr>
                <w:rFonts w:ascii="Arial" w:hAnsi="Arial" w:cs="Arial"/>
                <w:bCs/>
                <w:sz w:val="20"/>
                <w:szCs w:val="20"/>
              </w:rPr>
            </w:pPr>
            <w:r w:rsidRPr="00B46F27">
              <w:rPr>
                <w:rFonts w:ascii="Arial" w:hAnsi="Arial" w:cs="Arial"/>
                <w:bCs/>
                <w:sz w:val="20"/>
                <w:szCs w:val="20"/>
              </w:rPr>
              <w:t>699</w:t>
            </w:r>
          </w:p>
        </w:tc>
        <w:tc>
          <w:tcPr>
            <w:tcW w:w="1827" w:type="dxa"/>
            <w:shd w:val="clear" w:color="auto" w:fill="auto"/>
          </w:tcPr>
          <w:p w14:paraId="54D2BE18" w14:textId="77777777" w:rsidR="009479D5" w:rsidRPr="00B46F27" w:rsidRDefault="009479D5" w:rsidP="00DE5F0F">
            <w:pPr>
              <w:rPr>
                <w:rFonts w:ascii="Arial" w:hAnsi="Arial" w:cs="Arial"/>
                <w:bCs/>
                <w:sz w:val="20"/>
                <w:szCs w:val="20"/>
              </w:rPr>
            </w:pPr>
            <w:r w:rsidRPr="00B46F27">
              <w:rPr>
                <w:rFonts w:ascii="Arial" w:hAnsi="Arial" w:cs="Arial"/>
                <w:bCs/>
                <w:sz w:val="20"/>
                <w:szCs w:val="20"/>
              </w:rPr>
              <w:t>October 1, 2024</w:t>
            </w:r>
          </w:p>
        </w:tc>
        <w:tc>
          <w:tcPr>
            <w:tcW w:w="2121" w:type="dxa"/>
            <w:shd w:val="clear" w:color="auto" w:fill="auto"/>
          </w:tcPr>
          <w:p w14:paraId="33D38B84" w14:textId="77777777" w:rsidR="009479D5" w:rsidRPr="00B46F27" w:rsidRDefault="009479D5" w:rsidP="00DE5F0F">
            <w:pPr>
              <w:rPr>
                <w:rFonts w:ascii="Arial" w:hAnsi="Arial" w:cs="Arial"/>
                <w:bCs/>
                <w:sz w:val="20"/>
                <w:szCs w:val="20"/>
              </w:rPr>
            </w:pPr>
            <w:r w:rsidRPr="00B46F27">
              <w:rPr>
                <w:rFonts w:ascii="Arial" w:hAnsi="Arial" w:cs="Arial"/>
                <w:bCs/>
                <w:sz w:val="20"/>
                <w:szCs w:val="20"/>
              </w:rPr>
              <w:t>December 31, 2024</w:t>
            </w:r>
          </w:p>
        </w:tc>
      </w:tr>
      <w:tr w:rsidR="001564AA" w:rsidRPr="00761F83" w14:paraId="6C0F1172" w14:textId="77777777" w:rsidTr="00DE5F0F">
        <w:tc>
          <w:tcPr>
            <w:tcW w:w="796" w:type="dxa"/>
            <w:shd w:val="clear" w:color="auto" w:fill="auto"/>
          </w:tcPr>
          <w:p w14:paraId="60276E7D" w14:textId="1BC23A52" w:rsidR="001564AA" w:rsidRPr="002D5D57" w:rsidRDefault="001564AA" w:rsidP="001564AA">
            <w:pPr>
              <w:rPr>
                <w:rFonts w:ascii="Arial" w:hAnsi="Arial" w:cs="Arial"/>
                <w:sz w:val="20"/>
                <w:szCs w:val="20"/>
              </w:rPr>
            </w:pPr>
            <w:r w:rsidRPr="002D5D57">
              <w:rPr>
                <w:rFonts w:ascii="Arial" w:hAnsi="Arial" w:cs="Arial"/>
                <w:sz w:val="20"/>
                <w:szCs w:val="20"/>
              </w:rPr>
              <w:t>AM6</w:t>
            </w:r>
          </w:p>
        </w:tc>
        <w:tc>
          <w:tcPr>
            <w:tcW w:w="2012" w:type="dxa"/>
            <w:shd w:val="clear" w:color="auto" w:fill="auto"/>
          </w:tcPr>
          <w:p w14:paraId="63C691B1" w14:textId="77777777" w:rsidR="001564AA" w:rsidRPr="002D5D57" w:rsidRDefault="001564AA" w:rsidP="001564AA">
            <w:pPr>
              <w:ind w:right="-514"/>
              <w:rPr>
                <w:rFonts w:ascii="Arial" w:hAnsi="Arial" w:cs="Arial"/>
                <w:sz w:val="20"/>
                <w:szCs w:val="20"/>
              </w:rPr>
            </w:pPr>
            <w:r w:rsidRPr="002D5D57">
              <w:rPr>
                <w:rFonts w:ascii="Arial" w:hAnsi="Arial" w:cs="Arial"/>
                <w:sz w:val="20"/>
                <w:szCs w:val="20"/>
              </w:rPr>
              <w:t>USA</w:t>
            </w:r>
          </w:p>
        </w:tc>
        <w:tc>
          <w:tcPr>
            <w:tcW w:w="682" w:type="dxa"/>
            <w:shd w:val="clear" w:color="auto" w:fill="auto"/>
            <w:vAlign w:val="bottom"/>
          </w:tcPr>
          <w:p w14:paraId="53D01CCD" w14:textId="59301783" w:rsidR="001564AA" w:rsidRPr="002D5D57" w:rsidRDefault="001564AA" w:rsidP="001564AA">
            <w:pPr>
              <w:rPr>
                <w:rFonts w:ascii="Arial" w:hAnsi="Arial" w:cs="Arial"/>
                <w:sz w:val="20"/>
                <w:szCs w:val="20"/>
              </w:rPr>
            </w:pPr>
            <w:r w:rsidRPr="002D5D57">
              <w:rPr>
                <w:rFonts w:ascii="Arial" w:hAnsi="Arial" w:cs="Arial"/>
                <w:sz w:val="20"/>
                <w:szCs w:val="20"/>
              </w:rPr>
              <w:t>451</w:t>
            </w:r>
          </w:p>
        </w:tc>
        <w:tc>
          <w:tcPr>
            <w:tcW w:w="751" w:type="dxa"/>
            <w:shd w:val="clear" w:color="auto" w:fill="auto"/>
            <w:vAlign w:val="bottom"/>
          </w:tcPr>
          <w:p w14:paraId="71EDB4B8" w14:textId="7CA9206F" w:rsidR="001564AA" w:rsidRPr="002D5D57" w:rsidRDefault="001564AA" w:rsidP="001564AA">
            <w:pPr>
              <w:rPr>
                <w:rFonts w:ascii="Arial" w:hAnsi="Arial" w:cs="Arial"/>
                <w:sz w:val="20"/>
                <w:szCs w:val="20"/>
              </w:rPr>
            </w:pPr>
            <w:r w:rsidRPr="002D5D57">
              <w:rPr>
                <w:rFonts w:ascii="Arial" w:hAnsi="Arial" w:cs="Arial"/>
                <w:sz w:val="20"/>
                <w:szCs w:val="20"/>
              </w:rPr>
              <w:t>564</w:t>
            </w:r>
          </w:p>
        </w:tc>
        <w:tc>
          <w:tcPr>
            <w:tcW w:w="826" w:type="dxa"/>
            <w:shd w:val="clear" w:color="auto" w:fill="auto"/>
            <w:vAlign w:val="bottom"/>
          </w:tcPr>
          <w:p w14:paraId="473AE54A" w14:textId="78FBFF8B" w:rsidR="001564AA" w:rsidRPr="002D5D57" w:rsidRDefault="001564AA" w:rsidP="001564AA">
            <w:pPr>
              <w:rPr>
                <w:rFonts w:ascii="Arial" w:hAnsi="Arial" w:cs="Arial"/>
                <w:sz w:val="20"/>
                <w:szCs w:val="20"/>
              </w:rPr>
            </w:pPr>
            <w:r w:rsidRPr="002D5D57">
              <w:rPr>
                <w:rFonts w:ascii="Arial" w:hAnsi="Arial" w:cs="Arial"/>
                <w:sz w:val="20"/>
                <w:szCs w:val="20"/>
              </w:rPr>
              <w:t>635</w:t>
            </w:r>
          </w:p>
        </w:tc>
        <w:tc>
          <w:tcPr>
            <w:tcW w:w="809" w:type="dxa"/>
            <w:shd w:val="clear" w:color="auto" w:fill="auto"/>
            <w:vAlign w:val="bottom"/>
          </w:tcPr>
          <w:p w14:paraId="397B17D5" w14:textId="46EDD56E" w:rsidR="001564AA" w:rsidRPr="002D5D57" w:rsidRDefault="001564AA" w:rsidP="001564AA">
            <w:pPr>
              <w:rPr>
                <w:rFonts w:ascii="Arial" w:hAnsi="Arial" w:cs="Arial"/>
                <w:sz w:val="20"/>
                <w:szCs w:val="20"/>
              </w:rPr>
            </w:pPr>
            <w:r w:rsidRPr="002D5D57">
              <w:rPr>
                <w:rFonts w:ascii="Arial" w:hAnsi="Arial" w:cs="Arial"/>
                <w:sz w:val="20"/>
                <w:szCs w:val="20"/>
              </w:rPr>
              <w:t>714</w:t>
            </w:r>
          </w:p>
        </w:tc>
        <w:tc>
          <w:tcPr>
            <w:tcW w:w="1827" w:type="dxa"/>
            <w:shd w:val="clear" w:color="auto" w:fill="auto"/>
          </w:tcPr>
          <w:p w14:paraId="424E18F3" w14:textId="77777777" w:rsidR="001564AA" w:rsidRPr="002D5D57" w:rsidRDefault="001564AA" w:rsidP="001564AA">
            <w:pPr>
              <w:rPr>
                <w:rFonts w:ascii="Arial" w:hAnsi="Arial" w:cs="Arial"/>
                <w:sz w:val="20"/>
                <w:szCs w:val="20"/>
              </w:rPr>
            </w:pPr>
            <w:r w:rsidRPr="002D5D57">
              <w:rPr>
                <w:rFonts w:ascii="Arial" w:hAnsi="Arial" w:cs="Arial"/>
                <w:sz w:val="20"/>
                <w:szCs w:val="20"/>
              </w:rPr>
              <w:t>January 1, 2025</w:t>
            </w:r>
          </w:p>
        </w:tc>
        <w:tc>
          <w:tcPr>
            <w:tcW w:w="2121" w:type="dxa"/>
            <w:shd w:val="clear" w:color="auto" w:fill="auto"/>
          </w:tcPr>
          <w:p w14:paraId="4920028F" w14:textId="77777777" w:rsidR="001564AA" w:rsidRPr="002D5D57" w:rsidRDefault="001564AA" w:rsidP="001564AA">
            <w:pPr>
              <w:rPr>
                <w:rFonts w:ascii="Arial" w:hAnsi="Arial" w:cs="Arial"/>
                <w:sz w:val="20"/>
                <w:szCs w:val="20"/>
              </w:rPr>
            </w:pPr>
            <w:r w:rsidRPr="002D5D57">
              <w:rPr>
                <w:rFonts w:ascii="Arial" w:hAnsi="Arial" w:cs="Arial"/>
                <w:sz w:val="20"/>
                <w:szCs w:val="20"/>
              </w:rPr>
              <w:t>March 31, 2025</w:t>
            </w:r>
          </w:p>
        </w:tc>
      </w:tr>
      <w:tr w:rsidR="009479D5" w:rsidRPr="00761F83" w14:paraId="5131C097" w14:textId="77777777" w:rsidTr="00DE5F0F">
        <w:tc>
          <w:tcPr>
            <w:tcW w:w="796" w:type="dxa"/>
            <w:shd w:val="clear" w:color="auto" w:fill="auto"/>
          </w:tcPr>
          <w:p w14:paraId="191D3907" w14:textId="77777777" w:rsidR="009479D5" w:rsidRPr="004D64CD" w:rsidRDefault="009479D5" w:rsidP="00DE5F0F">
            <w:pPr>
              <w:rPr>
                <w:rFonts w:ascii="Arial" w:hAnsi="Arial" w:cs="Arial"/>
                <w:b/>
                <w:bCs/>
                <w:sz w:val="20"/>
                <w:szCs w:val="20"/>
              </w:rPr>
            </w:pPr>
          </w:p>
        </w:tc>
        <w:tc>
          <w:tcPr>
            <w:tcW w:w="2012" w:type="dxa"/>
            <w:shd w:val="clear" w:color="auto" w:fill="auto"/>
          </w:tcPr>
          <w:p w14:paraId="112189B4" w14:textId="77777777" w:rsidR="009479D5" w:rsidRPr="00DD7A2A" w:rsidRDefault="009479D5" w:rsidP="00DE5F0F">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4EAC6ECB"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751" w:type="dxa"/>
            <w:shd w:val="clear" w:color="auto" w:fill="auto"/>
            <w:vAlign w:val="bottom"/>
          </w:tcPr>
          <w:p w14:paraId="482348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26" w:type="dxa"/>
            <w:shd w:val="clear" w:color="auto" w:fill="auto"/>
            <w:vAlign w:val="bottom"/>
          </w:tcPr>
          <w:p w14:paraId="0CA5E4AA"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09" w:type="dxa"/>
            <w:shd w:val="clear" w:color="auto" w:fill="auto"/>
            <w:vAlign w:val="bottom"/>
          </w:tcPr>
          <w:p w14:paraId="53420C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1827" w:type="dxa"/>
            <w:shd w:val="clear" w:color="auto" w:fill="auto"/>
          </w:tcPr>
          <w:p w14:paraId="27EB18D0" w14:textId="77777777" w:rsidR="009479D5" w:rsidRPr="00DD7A2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5</w:t>
            </w:r>
          </w:p>
        </w:tc>
        <w:tc>
          <w:tcPr>
            <w:tcW w:w="2121" w:type="dxa"/>
            <w:shd w:val="clear" w:color="auto" w:fill="auto"/>
          </w:tcPr>
          <w:p w14:paraId="0123B05E" w14:textId="77777777" w:rsidR="009479D5" w:rsidRPr="00DD7A2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5</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t>OTHER</w:t>
      </w:r>
      <w:r w:rsidR="00F973BF" w:rsidRPr="00642C12">
        <w:rPr>
          <w:rFonts w:ascii="Arial" w:hAnsi="Arial" w:cs="Arial"/>
          <w:b/>
          <w:sz w:val="20"/>
          <w:szCs w:val="20"/>
        </w:rPr>
        <w:t>:</w:t>
      </w:r>
    </w:p>
    <w:p w14:paraId="69D6EEFA" w14:textId="2D080E86" w:rsidR="00864A14" w:rsidRPr="005A162B" w:rsidRDefault="00864A14" w:rsidP="001F726A">
      <w:pPr>
        <w:ind w:hanging="720"/>
        <w:rPr>
          <w:rFonts w:ascii="Arial" w:hAnsi="Arial"/>
          <w:bCs/>
          <w:sz w:val="20"/>
          <w:szCs w:val="20"/>
        </w:rPr>
      </w:pPr>
      <w:r w:rsidRPr="005A162B">
        <w:rPr>
          <w:rFonts w:ascii="Arial" w:hAnsi="Arial"/>
          <w:bCs/>
          <w:sz w:val="20"/>
          <w:szCs w:val="20"/>
        </w:rPr>
        <w:t>AM3</w:t>
      </w:r>
      <w:r w:rsidRPr="005A162B">
        <w:rPr>
          <w:rFonts w:ascii="Arial" w:hAnsi="Arial"/>
          <w:bCs/>
          <w:sz w:val="20"/>
          <w:szCs w:val="20"/>
        </w:rPr>
        <w:tab/>
      </w:r>
      <w:r w:rsidRPr="005A162B">
        <w:rPr>
          <w:rFonts w:ascii="Arial" w:hAnsi="Arial"/>
          <w:bCs/>
          <w:sz w:val="20"/>
          <w:szCs w:val="20"/>
          <w:u w:val="single"/>
        </w:rPr>
        <w:t>Consolidation Services</w:t>
      </w:r>
      <w:r w:rsidR="001F726A" w:rsidRPr="005A162B">
        <w:rPr>
          <w:rFonts w:ascii="Arial" w:hAnsi="Arial"/>
          <w:bCs/>
          <w:sz w:val="20"/>
          <w:szCs w:val="20"/>
        </w:rPr>
        <w:tab/>
      </w:r>
    </w:p>
    <w:p w14:paraId="40072F99" w14:textId="77777777" w:rsidR="00864A14" w:rsidRDefault="00864A14" w:rsidP="00864A14">
      <w:pPr>
        <w:rPr>
          <w:rFonts w:ascii="Arial" w:hAnsi="Arial"/>
          <w:b/>
          <w:sz w:val="20"/>
          <w:szCs w:val="20"/>
        </w:rPr>
      </w:pPr>
    </w:p>
    <w:tbl>
      <w:tblPr>
        <w:tblW w:w="9760" w:type="dxa"/>
        <w:tblLook w:val="04A0" w:firstRow="1" w:lastRow="0" w:firstColumn="1" w:lastColumn="0" w:noHBand="0" w:noVBand="1"/>
      </w:tblPr>
      <w:tblGrid>
        <w:gridCol w:w="5920"/>
        <w:gridCol w:w="960"/>
        <w:gridCol w:w="960"/>
        <w:gridCol w:w="960"/>
        <w:gridCol w:w="960"/>
      </w:tblGrid>
      <w:tr w:rsidR="0058390F" w:rsidRPr="0058390F" w14:paraId="776B4AD1" w14:textId="77777777" w:rsidTr="0058390F">
        <w:trPr>
          <w:trHeight w:val="270"/>
        </w:trPr>
        <w:tc>
          <w:tcPr>
            <w:tcW w:w="97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EB8572" w14:textId="68197E4F"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Origin FTL – For the Account of Ariat</w:t>
            </w:r>
          </w:p>
        </w:tc>
      </w:tr>
      <w:tr w:rsidR="0058390F" w:rsidRPr="0058390F" w14:paraId="39C14F91" w14:textId="77777777" w:rsidTr="0058390F">
        <w:trPr>
          <w:trHeight w:val="270"/>
        </w:trPr>
        <w:tc>
          <w:tcPr>
            <w:tcW w:w="9760" w:type="dxa"/>
            <w:gridSpan w:val="5"/>
            <w:tcBorders>
              <w:top w:val="single" w:sz="8" w:space="0" w:color="000000"/>
              <w:left w:val="single" w:sz="8" w:space="0" w:color="auto"/>
              <w:bottom w:val="nil"/>
              <w:right w:val="single" w:sz="8" w:space="0" w:color="000000"/>
            </w:tcBorders>
            <w:shd w:val="clear" w:color="auto" w:fill="auto"/>
            <w:vAlign w:val="center"/>
            <w:hideMark/>
          </w:tcPr>
          <w:p w14:paraId="6A221D0C"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Cambodia Origin Factory Door FTL Trucking to Haiphong CFS per Export Container in US$</w:t>
            </w:r>
          </w:p>
        </w:tc>
      </w:tr>
      <w:tr w:rsidR="0058390F" w:rsidRPr="0058390F" w14:paraId="1B3AF3B0" w14:textId="77777777" w:rsidTr="0058390F">
        <w:trPr>
          <w:trHeight w:val="270"/>
        </w:trPr>
        <w:tc>
          <w:tcPr>
            <w:tcW w:w="9760" w:type="dxa"/>
            <w:gridSpan w:val="5"/>
            <w:tcBorders>
              <w:top w:val="nil"/>
              <w:left w:val="single" w:sz="8" w:space="0" w:color="auto"/>
              <w:bottom w:val="nil"/>
              <w:right w:val="single" w:sz="8" w:space="0" w:color="000000"/>
            </w:tcBorders>
            <w:shd w:val="clear" w:color="auto" w:fill="auto"/>
            <w:vAlign w:val="center"/>
            <w:hideMark/>
          </w:tcPr>
          <w:p w14:paraId="48165155"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 </w:t>
            </w:r>
          </w:p>
        </w:tc>
      </w:tr>
      <w:tr w:rsidR="0058390F" w:rsidRPr="0058390F" w14:paraId="7854CBBD" w14:textId="77777777" w:rsidTr="0058390F">
        <w:trPr>
          <w:trHeight w:val="270"/>
        </w:trPr>
        <w:tc>
          <w:tcPr>
            <w:tcW w:w="9760" w:type="dxa"/>
            <w:gridSpan w:val="5"/>
            <w:tcBorders>
              <w:top w:val="nil"/>
              <w:left w:val="single" w:sz="8" w:space="0" w:color="auto"/>
              <w:bottom w:val="single" w:sz="8" w:space="0" w:color="auto"/>
              <w:right w:val="single" w:sz="8" w:space="0" w:color="000000"/>
            </w:tcBorders>
            <w:shd w:val="clear" w:color="auto" w:fill="auto"/>
            <w:vAlign w:val="center"/>
            <w:hideMark/>
          </w:tcPr>
          <w:p w14:paraId="3FA35731"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From: Phnom Penh, Cambodia</w:t>
            </w:r>
          </w:p>
        </w:tc>
      </w:tr>
      <w:tr w:rsidR="0058390F" w:rsidRPr="0058390F" w14:paraId="1BDCF126"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hideMark/>
          </w:tcPr>
          <w:p w14:paraId="681902CD" w14:textId="77777777" w:rsidR="0058390F" w:rsidRPr="005A162B" w:rsidRDefault="0058390F">
            <w:pPr>
              <w:rPr>
                <w:color w:val="000000"/>
                <w:sz w:val="20"/>
                <w:szCs w:val="20"/>
              </w:rPr>
            </w:pPr>
            <w:r w:rsidRPr="005A162B">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228D571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20</w:t>
            </w:r>
          </w:p>
        </w:tc>
        <w:tc>
          <w:tcPr>
            <w:tcW w:w="960" w:type="dxa"/>
            <w:tcBorders>
              <w:top w:val="nil"/>
              <w:left w:val="nil"/>
              <w:bottom w:val="single" w:sz="8" w:space="0" w:color="auto"/>
              <w:right w:val="single" w:sz="8" w:space="0" w:color="auto"/>
            </w:tcBorders>
            <w:shd w:val="clear" w:color="auto" w:fill="auto"/>
            <w:vAlign w:val="center"/>
            <w:hideMark/>
          </w:tcPr>
          <w:p w14:paraId="2353581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w:t>
            </w:r>
          </w:p>
        </w:tc>
        <w:tc>
          <w:tcPr>
            <w:tcW w:w="960" w:type="dxa"/>
            <w:tcBorders>
              <w:top w:val="nil"/>
              <w:left w:val="nil"/>
              <w:bottom w:val="single" w:sz="8" w:space="0" w:color="auto"/>
              <w:right w:val="single" w:sz="8" w:space="0" w:color="auto"/>
            </w:tcBorders>
            <w:shd w:val="clear" w:color="auto" w:fill="auto"/>
            <w:vAlign w:val="center"/>
            <w:hideMark/>
          </w:tcPr>
          <w:p w14:paraId="4F6817F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40HC</w:t>
            </w:r>
          </w:p>
        </w:tc>
        <w:tc>
          <w:tcPr>
            <w:tcW w:w="960" w:type="dxa"/>
            <w:tcBorders>
              <w:top w:val="nil"/>
              <w:left w:val="nil"/>
              <w:bottom w:val="single" w:sz="8" w:space="0" w:color="auto"/>
              <w:right w:val="single" w:sz="8" w:space="0" w:color="auto"/>
            </w:tcBorders>
            <w:shd w:val="clear" w:color="auto" w:fill="auto"/>
            <w:vAlign w:val="center"/>
            <w:hideMark/>
          </w:tcPr>
          <w:p w14:paraId="676B565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45HC</w:t>
            </w:r>
          </w:p>
        </w:tc>
      </w:tr>
      <w:tr w:rsidR="0058390F" w:rsidRPr="0058390F" w14:paraId="346C7868" w14:textId="77777777" w:rsidTr="0058390F">
        <w:trPr>
          <w:trHeight w:val="270"/>
        </w:trPr>
        <w:tc>
          <w:tcPr>
            <w:tcW w:w="5920" w:type="dxa"/>
            <w:tcBorders>
              <w:top w:val="nil"/>
              <w:left w:val="single" w:sz="8" w:space="0" w:color="000000"/>
              <w:bottom w:val="single" w:sz="8" w:space="0" w:color="000000"/>
              <w:right w:val="single" w:sz="8" w:space="0" w:color="000000"/>
            </w:tcBorders>
            <w:shd w:val="clear" w:color="auto" w:fill="auto"/>
            <w:vAlign w:val="center"/>
            <w:hideMark/>
          </w:tcPr>
          <w:p w14:paraId="061BFD99"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Pickup and Cross-Border Trucking</w:t>
            </w:r>
          </w:p>
        </w:tc>
        <w:tc>
          <w:tcPr>
            <w:tcW w:w="960" w:type="dxa"/>
            <w:tcBorders>
              <w:top w:val="nil"/>
              <w:left w:val="nil"/>
              <w:bottom w:val="single" w:sz="8" w:space="0" w:color="000000"/>
              <w:right w:val="single" w:sz="8" w:space="0" w:color="000000"/>
            </w:tcBorders>
            <w:shd w:val="clear" w:color="auto" w:fill="auto"/>
            <w:vAlign w:val="center"/>
            <w:hideMark/>
          </w:tcPr>
          <w:p w14:paraId="7ADC924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4269</w:t>
            </w:r>
          </w:p>
        </w:tc>
        <w:tc>
          <w:tcPr>
            <w:tcW w:w="960" w:type="dxa"/>
            <w:tcBorders>
              <w:top w:val="nil"/>
              <w:left w:val="nil"/>
              <w:bottom w:val="single" w:sz="8" w:space="0" w:color="000000"/>
              <w:right w:val="single" w:sz="8" w:space="0" w:color="000000"/>
            </w:tcBorders>
            <w:shd w:val="clear" w:color="auto" w:fill="auto"/>
            <w:vAlign w:val="center"/>
            <w:hideMark/>
          </w:tcPr>
          <w:p w14:paraId="7AE564E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4D5C85A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717F1C4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5342</w:t>
            </w:r>
          </w:p>
        </w:tc>
      </w:tr>
      <w:tr w:rsidR="0058390F" w:rsidRPr="0058390F" w14:paraId="6C3F034A"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053F2A4"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Container Stuffing and Drayage</w:t>
            </w:r>
          </w:p>
        </w:tc>
        <w:tc>
          <w:tcPr>
            <w:tcW w:w="960" w:type="dxa"/>
            <w:tcBorders>
              <w:top w:val="nil"/>
              <w:left w:val="nil"/>
              <w:bottom w:val="single" w:sz="8" w:space="0" w:color="auto"/>
              <w:right w:val="single" w:sz="8" w:space="0" w:color="auto"/>
            </w:tcBorders>
            <w:shd w:val="clear" w:color="auto" w:fill="auto"/>
            <w:vAlign w:val="center"/>
            <w:hideMark/>
          </w:tcPr>
          <w:p w14:paraId="6F9054A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280</w:t>
            </w:r>
          </w:p>
        </w:tc>
        <w:tc>
          <w:tcPr>
            <w:tcW w:w="960" w:type="dxa"/>
            <w:tcBorders>
              <w:top w:val="nil"/>
              <w:left w:val="nil"/>
              <w:bottom w:val="single" w:sz="8" w:space="0" w:color="auto"/>
              <w:right w:val="single" w:sz="8" w:space="0" w:color="auto"/>
            </w:tcBorders>
            <w:shd w:val="clear" w:color="auto" w:fill="auto"/>
            <w:vAlign w:val="center"/>
            <w:hideMark/>
          </w:tcPr>
          <w:p w14:paraId="0F0C1A5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550</w:t>
            </w:r>
          </w:p>
        </w:tc>
        <w:tc>
          <w:tcPr>
            <w:tcW w:w="960" w:type="dxa"/>
            <w:tcBorders>
              <w:top w:val="nil"/>
              <w:left w:val="nil"/>
              <w:bottom w:val="single" w:sz="8" w:space="0" w:color="auto"/>
              <w:right w:val="single" w:sz="8" w:space="0" w:color="auto"/>
            </w:tcBorders>
            <w:shd w:val="clear" w:color="auto" w:fill="auto"/>
            <w:vAlign w:val="center"/>
            <w:hideMark/>
          </w:tcPr>
          <w:p w14:paraId="5E5AE10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vAlign w:val="center"/>
            <w:hideMark/>
          </w:tcPr>
          <w:p w14:paraId="5F76D10F"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650</w:t>
            </w:r>
          </w:p>
        </w:tc>
      </w:tr>
      <w:tr w:rsidR="0058390F" w:rsidRPr="0058390F" w14:paraId="018C6E09"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86E1BBA"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lastRenderedPageBreak/>
              <w:t>Booking Charge</w:t>
            </w:r>
          </w:p>
        </w:tc>
        <w:tc>
          <w:tcPr>
            <w:tcW w:w="960" w:type="dxa"/>
            <w:tcBorders>
              <w:top w:val="nil"/>
              <w:left w:val="nil"/>
              <w:bottom w:val="single" w:sz="8" w:space="0" w:color="auto"/>
              <w:right w:val="single" w:sz="8" w:space="0" w:color="auto"/>
            </w:tcBorders>
            <w:shd w:val="clear" w:color="auto" w:fill="auto"/>
            <w:vAlign w:val="center"/>
            <w:hideMark/>
          </w:tcPr>
          <w:p w14:paraId="432A938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80</w:t>
            </w:r>
          </w:p>
        </w:tc>
        <w:tc>
          <w:tcPr>
            <w:tcW w:w="960" w:type="dxa"/>
            <w:tcBorders>
              <w:top w:val="nil"/>
              <w:left w:val="nil"/>
              <w:bottom w:val="single" w:sz="8" w:space="0" w:color="auto"/>
              <w:right w:val="single" w:sz="8" w:space="0" w:color="auto"/>
            </w:tcBorders>
            <w:shd w:val="clear" w:color="auto" w:fill="auto"/>
            <w:vAlign w:val="center"/>
            <w:hideMark/>
          </w:tcPr>
          <w:p w14:paraId="536962A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0CFB6423"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233D4BA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r>
      <w:tr w:rsidR="0058390F" w:rsidRPr="0058390F" w14:paraId="741BB103"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0366085E"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Customs Transit Fee (per Entry)</w:t>
            </w:r>
          </w:p>
        </w:tc>
        <w:tc>
          <w:tcPr>
            <w:tcW w:w="960" w:type="dxa"/>
            <w:tcBorders>
              <w:top w:val="nil"/>
              <w:left w:val="nil"/>
              <w:bottom w:val="single" w:sz="8" w:space="0" w:color="auto"/>
              <w:right w:val="single" w:sz="8" w:space="0" w:color="auto"/>
            </w:tcBorders>
            <w:shd w:val="clear" w:color="auto" w:fill="auto"/>
            <w:vAlign w:val="center"/>
            <w:hideMark/>
          </w:tcPr>
          <w:p w14:paraId="7C5BC15B"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6715C922"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49D20EB8"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1A8B7BDE"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r>
    </w:tbl>
    <w:p w14:paraId="3B011B49" w14:textId="77777777" w:rsidR="0058390F" w:rsidRDefault="0058390F" w:rsidP="00864A14">
      <w:pPr>
        <w:rPr>
          <w:rFonts w:ascii="Arial" w:hAnsi="Arial"/>
          <w:b/>
          <w:sz w:val="20"/>
          <w:szCs w:val="20"/>
        </w:rPr>
      </w:pPr>
    </w:p>
    <w:p w14:paraId="6C736824" w14:textId="41461949" w:rsidR="0047793D" w:rsidRDefault="0047793D" w:rsidP="00864A14">
      <w:pPr>
        <w:rPr>
          <w:rFonts w:ascii="Arial" w:hAnsi="Arial"/>
          <w:sz w:val="20"/>
          <w:szCs w:val="20"/>
        </w:rPr>
      </w:pPr>
      <w:r w:rsidRPr="00644A8D">
        <w:rPr>
          <w:rFonts w:ascii="Arial" w:hAnsi="Arial" w:cs="Arial"/>
          <w:sz w:val="20"/>
          <w:szCs w:val="20"/>
          <w:u w:val="single"/>
        </w:rPr>
        <w:t>C</w:t>
      </w:r>
      <w:r>
        <w:rPr>
          <w:rFonts w:ascii="Arial" w:hAnsi="Arial" w:cs="Arial"/>
          <w:sz w:val="20"/>
          <w:szCs w:val="20"/>
          <w:u w:val="single"/>
        </w:rPr>
        <w:t>redit</w:t>
      </w:r>
      <w:r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673CFEAF" w14:textId="77777777" w:rsidR="009479D5" w:rsidRPr="00450DF7" w:rsidRDefault="009479D5" w:rsidP="009479D5">
      <w:pPr>
        <w:rPr>
          <w:rFonts w:ascii="Arial" w:hAnsi="Arial"/>
          <w:sz w:val="20"/>
          <w:szCs w:val="20"/>
        </w:rPr>
      </w:pPr>
      <w:r w:rsidRPr="009C03AF">
        <w:rPr>
          <w:rFonts w:ascii="Arial" w:hAnsi="Arial"/>
          <w:sz w:val="20"/>
          <w:szCs w:val="20"/>
        </w:rPr>
        <w:t xml:space="preserve">Carrier at its sole discretion may substitute 20’ and 40’ Reefer Dry containers </w:t>
      </w:r>
      <w:r>
        <w:rPr>
          <w:rFonts w:ascii="Arial" w:hAnsi="Arial"/>
          <w:sz w:val="20"/>
          <w:szCs w:val="20"/>
        </w:rPr>
        <w:t>to the U.S. West Coast Local only and Hawaii Ports at 90</w:t>
      </w:r>
      <w:r w:rsidRPr="00450DF7">
        <w:rPr>
          <w:rFonts w:ascii="Arial" w:hAnsi="Arial"/>
          <w:sz w:val="20"/>
          <w:szCs w:val="20"/>
        </w:rPr>
        <w:t>% of the 40' Sta</w:t>
      </w:r>
      <w:r>
        <w:rPr>
          <w:rFonts w:ascii="Arial" w:hAnsi="Arial"/>
          <w:sz w:val="20"/>
          <w:szCs w:val="20"/>
        </w:rPr>
        <w:t>ndard Dry Container rates and 80</w:t>
      </w:r>
      <w:r w:rsidRPr="00450DF7">
        <w:rPr>
          <w:rFonts w:ascii="Arial" w:hAnsi="Arial"/>
          <w:sz w:val="20"/>
          <w:szCs w:val="20"/>
        </w:rPr>
        <w:t>% of the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country-region">
        <w:smartTag w:uri="urn:schemas-microsoft-com:office:smarttags" w:element="place">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country-region">
        <w:smartTag w:uri="urn:schemas-microsoft-com:office:smarttags" w:element="place">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freight and related charges must be prepaid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t>
      </w:r>
      <w:r w:rsidRPr="00F33B0B">
        <w:rPr>
          <w:rFonts w:ascii="Arial" w:hAnsi="Arial" w:cs="Arial"/>
          <w:sz w:val="20"/>
          <w:szCs w:val="16"/>
        </w:rPr>
        <w:lastRenderedPageBreak/>
        <w:t xml:space="preserve">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articipant (and not the Association) shall be responsible for payment of its transportation costs for cargo moved under the terms of the Contract. Carrier is satisfied as 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lastRenderedPageBreak/>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lastRenderedPageBreak/>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State">
        <w:smartTag w:uri="urn:schemas-microsoft-com:office:smarttags" w:element="plac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lastRenderedPageBreak/>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449F2B73" w14:textId="6CB5D686" w:rsidR="00B625AA" w:rsidRDefault="00B625AA" w:rsidP="00A76C3D">
      <w:pPr>
        <w:numPr>
          <w:ilvl w:val="0"/>
          <w:numId w:val="23"/>
        </w:numPr>
        <w:spacing w:after="240"/>
        <w:jc w:val="both"/>
      </w:pPr>
      <w:bookmarkStart w:id="2" w:name="_Hlk164755923"/>
      <w:r>
        <w:t xml:space="preserve">At the option of Carrier, “reefer” containers may be substituted for “dry” containers destined to </w:t>
      </w:r>
      <w:r w:rsidR="009479D5" w:rsidRPr="009479D5">
        <w:t xml:space="preserve">the U.S. West Coast Local only and Hawaii Ports </w:t>
      </w:r>
      <w:r>
        <w:t xml:space="preserve">set forth in the Contract, </w:t>
      </w:r>
      <w:r w:rsidR="00A76C3D" w:rsidRPr="00A76C3D">
        <w:t>at 90% of the 40' Standard Dry Container rates and 80% of the 20' Standard Dry Container rates</w:t>
      </w:r>
      <w:r w:rsidR="00A76C3D">
        <w:t xml:space="preserve"> set forth in the contract</w:t>
      </w:r>
      <w:r w:rsidR="00A76C3D" w:rsidRPr="00A76C3D">
        <w:t>, subject to equipment availability.</w:t>
      </w:r>
    </w:p>
    <w:bookmarkEnd w:id="2"/>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lastRenderedPageBreak/>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3" w:name="OLE_LINK1"/>
      <w:bookmarkStart w:id="4"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3"/>
      <w:bookmarkEnd w:id="4"/>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 xml:space="preserve">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w:t>
      </w:r>
      <w:r>
        <w:lastRenderedPageBreak/>
        <w:t>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12C5429A" w:rsidR="00B625AA" w:rsidRDefault="00B625AA" w:rsidP="00B625AA">
      <w:r>
        <w:t xml:space="preserve">  </w:t>
      </w:r>
      <w:r w:rsidR="00890803">
        <w:t xml:space="preserve">      </w:t>
      </w:r>
      <w:r w:rsidR="004E3BC6" w:rsidRPr="004E3BC6">
        <w:t>Ken O’Brien</w:t>
      </w:r>
      <w:r w:rsidR="00890803">
        <w:t>, President</w:t>
      </w:r>
      <w:r w:rsidR="00890803">
        <w:tab/>
      </w:r>
      <w:r w:rsidR="00890803">
        <w:tab/>
      </w:r>
      <w:r w:rsidR="00B46F27">
        <w:tab/>
      </w:r>
      <w:r w:rsidR="00B46F27" w:rsidRPr="001564AA">
        <w:t>AM5</w:t>
      </w:r>
      <w:r w:rsidR="00B46F27" w:rsidRPr="001564AA">
        <w:tab/>
        <w:t xml:space="preserve">       Ryan Glover</w:t>
      </w:r>
      <w:r w:rsidR="00890803" w:rsidRPr="001564AA">
        <w:t xml:space="preserve">, </w:t>
      </w:r>
      <w:r w:rsidR="00B46F27" w:rsidRPr="001564AA">
        <w:t>Director, Corporate Pricing</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B625AA" w:rsidP="00B625AA">
      <w:pPr>
        <w:pStyle w:val="DocID"/>
      </w:pPr>
      <w:fldSimple w:instr="  DOCPROPERTY &quot;CUS_DocIDString&quot; ">
        <w:r>
          <w:t>1233976v1/15959-2</w:t>
        </w:r>
      </w:fldSimple>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6A451087" w14:textId="42EA81CE" w:rsidR="009A57B4" w:rsidRPr="002D5D57" w:rsidRDefault="009A57B4" w:rsidP="004F31E1">
      <w:pPr>
        <w:jc w:val="center"/>
        <w:rPr>
          <w:rFonts w:ascii="Arial" w:hAnsi="Arial" w:cs="Arial"/>
          <w:b/>
          <w:sz w:val="20"/>
          <w:szCs w:val="20"/>
        </w:rPr>
      </w:pPr>
      <w:r w:rsidRPr="002D5D57">
        <w:rPr>
          <w:rFonts w:ascii="Arial" w:hAnsi="Arial" w:cs="Arial"/>
          <w:b/>
          <w:sz w:val="20"/>
          <w:szCs w:val="20"/>
        </w:rPr>
        <w:lastRenderedPageBreak/>
        <w:t>AM</w:t>
      </w:r>
      <w:r w:rsidR="002D5D57" w:rsidRPr="002D5D57">
        <w:rPr>
          <w:rFonts w:ascii="Arial" w:hAnsi="Arial" w:cs="Arial"/>
          <w:b/>
          <w:sz w:val="20"/>
          <w:szCs w:val="20"/>
        </w:rPr>
        <w:t>7</w:t>
      </w:r>
    </w:p>
    <w:p w14:paraId="52E64837" w14:textId="04E542EC"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2A838960" w:rsidR="004F31E1" w:rsidRPr="00E949EF" w:rsidRDefault="002D5D57" w:rsidP="008A161A">
      <w:pPr>
        <w:tabs>
          <w:tab w:val="left" w:pos="756"/>
        </w:tabs>
        <w:jc w:val="center"/>
        <w:rPr>
          <w:rFonts w:ascii="Arial" w:hAnsi="Arial" w:cs="Arial"/>
          <w:sz w:val="20"/>
          <w:szCs w:val="20"/>
        </w:rPr>
      </w:pPr>
      <w:r>
        <w:rPr>
          <w:rFonts w:ascii="Arial" w:hAnsi="Arial" w:cs="Arial"/>
          <w:sz w:val="20"/>
          <w:szCs w:val="20"/>
        </w:rPr>
        <w:object w:dxaOrig="1533" w:dyaOrig="992" w14:anchorId="03BE1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797078788" r:id="rId13"/>
        </w:object>
      </w:r>
    </w:p>
    <w:sectPr w:rsidR="004F31E1" w:rsidRPr="00E949EF" w:rsidSect="00282CCF">
      <w:headerReference w:type="default" r:id="rId14"/>
      <w:footerReference w:type="even" r:id="rId15"/>
      <w:footerReference w:type="default" r:id="rId16"/>
      <w:headerReference w:type="first" r:id="rId17"/>
      <w:footerReference w:type="first" r:id="rId18"/>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A8C0" w14:textId="77777777" w:rsidR="0061758F" w:rsidRDefault="0061758F">
      <w:r>
        <w:separator/>
      </w:r>
    </w:p>
  </w:endnote>
  <w:endnote w:type="continuationSeparator" w:id="0">
    <w:p w14:paraId="394DE9AF" w14:textId="77777777" w:rsidR="0061758F" w:rsidRDefault="0061758F">
      <w:r>
        <w:continuationSeparator/>
      </w:r>
    </w:p>
  </w:endnote>
  <w:endnote w:type="continuationNotice" w:id="1">
    <w:p w14:paraId="1FD0067E" w14:textId="77777777" w:rsidR="0061758F" w:rsidRDefault="00617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iDocIDField_2"/>
  <w:p w14:paraId="36DFFD5E" w14:textId="19829D99" w:rsidR="00B14CD4" w:rsidRPr="00734880" w:rsidRDefault="00B14CD4" w:rsidP="00734880">
    <w:pPr>
      <w:pStyle w:val="DocID"/>
    </w:pPr>
    <w:r>
      <w:fldChar w:fldCharType="begin"/>
    </w:r>
    <w:r>
      <w:instrText xml:space="preserve">  DOCPROPERTY "CUS_DocIDString" </w:instrText>
    </w:r>
    <w:r>
      <w:fldChar w:fldCharType="separate"/>
    </w:r>
    <w:r w:rsidR="006563F9">
      <w:t>1247105v1/15959-2</w: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43C5D" w14:textId="77777777" w:rsidR="0061758F" w:rsidRDefault="0061758F">
      <w:r>
        <w:separator/>
      </w:r>
    </w:p>
  </w:footnote>
  <w:footnote w:type="continuationSeparator" w:id="0">
    <w:p w14:paraId="0A64706C" w14:textId="77777777" w:rsidR="0061758F" w:rsidRDefault="0061758F">
      <w:r>
        <w:continuationSeparator/>
      </w:r>
    </w:p>
  </w:footnote>
  <w:footnote w:type="continuationNotice" w:id="1">
    <w:p w14:paraId="1DB8620D" w14:textId="77777777" w:rsidR="0061758F" w:rsidRDefault="00617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F696" w14:textId="6F9258D1" w:rsidR="009B1AE8" w:rsidRDefault="00B14CD4" w:rsidP="00F829A8">
    <w:pPr>
      <w:pStyle w:val="Header"/>
      <w:jc w:val="right"/>
      <w:rPr>
        <w:rFonts w:ascii="Arial" w:hAnsi="Arial" w:cs="Arial"/>
        <w:sz w:val="20"/>
        <w:szCs w:val="20"/>
      </w:rPr>
    </w:pPr>
    <w:r>
      <w:rPr>
        <w:rFonts w:ascii="Arial" w:hAnsi="Arial" w:cs="Arial"/>
        <w:sz w:val="20"/>
        <w:szCs w:val="20"/>
      </w:rPr>
      <w:t xml:space="preserve">Service Contract No. </w:t>
    </w:r>
    <w:r w:rsidR="008D449E">
      <w:rPr>
        <w:rFonts w:ascii="Arial" w:hAnsi="Arial" w:cs="Arial"/>
        <w:sz w:val="20"/>
        <w:szCs w:val="20"/>
      </w:rPr>
      <w:t>24343</w:t>
    </w:r>
  </w:p>
  <w:p w14:paraId="1408F13C" w14:textId="77777777" w:rsidR="002D5D57" w:rsidRPr="00AC37E1" w:rsidRDefault="002D5D57" w:rsidP="002D5D57">
    <w:pPr>
      <w:pStyle w:val="Header"/>
      <w:tabs>
        <w:tab w:val="clear" w:pos="4680"/>
        <w:tab w:val="clear" w:pos="9360"/>
      </w:tabs>
      <w:jc w:val="right"/>
      <w:rPr>
        <w:rFonts w:ascii="Arial" w:hAnsi="Arial" w:cs="Arial"/>
        <w:sz w:val="20"/>
        <w:szCs w:val="20"/>
      </w:rPr>
    </w:pPr>
    <w:r>
      <w:rPr>
        <w:rFonts w:ascii="Arial" w:hAnsi="Arial" w:cs="Arial"/>
        <w:sz w:val="20"/>
        <w:szCs w:val="20"/>
      </w:rPr>
      <w:t>Amendment No.7 Effective _______________</w:t>
    </w:r>
  </w:p>
  <w:p w14:paraId="7B9C18BB" w14:textId="14337206" w:rsidR="009A57B4" w:rsidRPr="00AC3185" w:rsidRDefault="009A57B4" w:rsidP="002D5D57">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3358" w14:textId="7792191B" w:rsidR="00864A14" w:rsidRPr="00AC37E1" w:rsidRDefault="00864A14" w:rsidP="003E0F62">
    <w:pPr>
      <w:pStyle w:val="Header"/>
      <w:tabs>
        <w:tab w:val="clear" w:pos="4680"/>
        <w:tab w:val="clear" w:pos="9360"/>
      </w:tabs>
      <w:jc w:val="right"/>
      <w:rPr>
        <w:rFonts w:ascii="Arial" w:hAnsi="Arial" w:cs="Arial"/>
        <w:sz w:val="20"/>
        <w:szCs w:val="20"/>
      </w:rPr>
    </w:pPr>
    <w:bookmarkStart w:id="5" w:name="_Hlk179804010"/>
    <w:bookmarkStart w:id="6" w:name="_Hlk179804011"/>
    <w:bookmarkStart w:id="7" w:name="_Hlk184285248"/>
    <w:bookmarkStart w:id="8" w:name="_Hlk184285249"/>
    <w:r>
      <w:rPr>
        <w:rFonts w:ascii="Arial" w:hAnsi="Arial" w:cs="Arial"/>
        <w:sz w:val="20"/>
        <w:szCs w:val="20"/>
      </w:rPr>
      <w:t>Amendment No.</w:t>
    </w:r>
    <w:r w:rsidR="002D5D57">
      <w:rPr>
        <w:rFonts w:ascii="Arial" w:hAnsi="Arial" w:cs="Arial"/>
        <w:sz w:val="20"/>
        <w:szCs w:val="20"/>
      </w:rPr>
      <w:t>7</w:t>
    </w:r>
    <w:r>
      <w:rPr>
        <w:rFonts w:ascii="Arial" w:hAnsi="Arial" w:cs="Arial"/>
        <w:sz w:val="20"/>
        <w:szCs w:val="20"/>
      </w:rPr>
      <w:t xml:space="preserve"> Effective</w:t>
    </w:r>
    <w:r w:rsidR="00427BE8">
      <w:rPr>
        <w:rFonts w:ascii="Arial" w:hAnsi="Arial" w:cs="Arial"/>
        <w:sz w:val="20"/>
        <w:szCs w:val="20"/>
      </w:rPr>
      <w:t xml:space="preserve"> </w:t>
    </w:r>
    <w:bookmarkEnd w:id="5"/>
    <w:bookmarkEnd w:id="6"/>
    <w:bookmarkEnd w:id="7"/>
    <w:bookmarkEnd w:id="8"/>
    <w:r w:rsidR="002D5D57">
      <w:rPr>
        <w:rFonts w:ascii="Arial" w:hAnsi="Arial" w:cs="Arial"/>
        <w:sz w:val="20"/>
        <w:szCs w:val="20"/>
      </w:rPr>
      <w:t>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878"/>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4F1B"/>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2AC"/>
    <w:rsid w:val="001359C5"/>
    <w:rsid w:val="00135D17"/>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4AA"/>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6D2"/>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0DC4"/>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336"/>
    <w:rsid w:val="00253EC8"/>
    <w:rsid w:val="00254AFC"/>
    <w:rsid w:val="00256654"/>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2CCF"/>
    <w:rsid w:val="00283DE7"/>
    <w:rsid w:val="00284573"/>
    <w:rsid w:val="00285C3B"/>
    <w:rsid w:val="002868C9"/>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5D57"/>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5C11"/>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1EA3"/>
    <w:rsid w:val="003B2FB9"/>
    <w:rsid w:val="003B5DCD"/>
    <w:rsid w:val="003B7174"/>
    <w:rsid w:val="003C0034"/>
    <w:rsid w:val="003C05B2"/>
    <w:rsid w:val="003C1C9F"/>
    <w:rsid w:val="003C1EF8"/>
    <w:rsid w:val="003C23ED"/>
    <w:rsid w:val="003C2470"/>
    <w:rsid w:val="003C29BD"/>
    <w:rsid w:val="003C322B"/>
    <w:rsid w:val="003C4037"/>
    <w:rsid w:val="003C4417"/>
    <w:rsid w:val="003C4A29"/>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0F62"/>
    <w:rsid w:val="003E1295"/>
    <w:rsid w:val="003E13CF"/>
    <w:rsid w:val="003E155B"/>
    <w:rsid w:val="003E1CFB"/>
    <w:rsid w:val="003E1D0A"/>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4642"/>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BE8"/>
    <w:rsid w:val="00427EF1"/>
    <w:rsid w:val="004304CA"/>
    <w:rsid w:val="00430C72"/>
    <w:rsid w:val="004314C0"/>
    <w:rsid w:val="004316C4"/>
    <w:rsid w:val="00432117"/>
    <w:rsid w:val="004322DB"/>
    <w:rsid w:val="00432C22"/>
    <w:rsid w:val="00432DD2"/>
    <w:rsid w:val="00434BFF"/>
    <w:rsid w:val="00436023"/>
    <w:rsid w:val="00437198"/>
    <w:rsid w:val="00437E1F"/>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3B1"/>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27FF"/>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5BD"/>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45EB"/>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390F"/>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B"/>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22A"/>
    <w:rsid w:val="005D36EC"/>
    <w:rsid w:val="005D3E2C"/>
    <w:rsid w:val="005D4918"/>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08E"/>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58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772"/>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3F9"/>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1071"/>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4244"/>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7FA"/>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44B"/>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0CE"/>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7B8"/>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A14"/>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16B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0C8"/>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2C0A"/>
    <w:rsid w:val="008C3FA8"/>
    <w:rsid w:val="008C4718"/>
    <w:rsid w:val="008C58B2"/>
    <w:rsid w:val="008C6DEB"/>
    <w:rsid w:val="008C7455"/>
    <w:rsid w:val="008D0C7D"/>
    <w:rsid w:val="008D0F3D"/>
    <w:rsid w:val="008D1C64"/>
    <w:rsid w:val="008D1D3D"/>
    <w:rsid w:val="008D267F"/>
    <w:rsid w:val="008D2AB9"/>
    <w:rsid w:val="008D34A5"/>
    <w:rsid w:val="008D3953"/>
    <w:rsid w:val="008D432F"/>
    <w:rsid w:val="008D449E"/>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4B9A"/>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07987"/>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479D5"/>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731"/>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7B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7D2"/>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0F9"/>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379D9"/>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6C3D"/>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22C"/>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6F27"/>
    <w:rsid w:val="00B47C08"/>
    <w:rsid w:val="00B47D07"/>
    <w:rsid w:val="00B50AE8"/>
    <w:rsid w:val="00B51548"/>
    <w:rsid w:val="00B51A71"/>
    <w:rsid w:val="00B51D1C"/>
    <w:rsid w:val="00B52131"/>
    <w:rsid w:val="00B528CC"/>
    <w:rsid w:val="00B530AB"/>
    <w:rsid w:val="00B55338"/>
    <w:rsid w:val="00B5591A"/>
    <w:rsid w:val="00B55CFD"/>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9B2"/>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380"/>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3E47"/>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4A91"/>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6"/>
    <w:rsid w:val="00D961EC"/>
    <w:rsid w:val="00D96DA1"/>
    <w:rsid w:val="00D970BB"/>
    <w:rsid w:val="00D971C6"/>
    <w:rsid w:val="00D97596"/>
    <w:rsid w:val="00DA0C2D"/>
    <w:rsid w:val="00DA0D0D"/>
    <w:rsid w:val="00DA1AE6"/>
    <w:rsid w:val="00DA2327"/>
    <w:rsid w:val="00DA247F"/>
    <w:rsid w:val="00DA2E15"/>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B789D"/>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D6F2C"/>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015"/>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67C4F"/>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C23"/>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0CF"/>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9A8"/>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link w:val="HeaderChar"/>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 w:type="character" w:customStyle="1" w:styleId="HeaderChar">
    <w:name w:val="Header Char"/>
    <w:basedOn w:val="DefaultParagraphFont"/>
    <w:link w:val="Header"/>
    <w:rsid w:val="007B7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62254032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61117036">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3488592">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1984657778">
      <w:bodyDiv w:val="1"/>
      <w:marLeft w:val="0"/>
      <w:marRight w:val="0"/>
      <w:marTop w:val="0"/>
      <w:marBottom w:val="0"/>
      <w:divBdr>
        <w:top w:val="none" w:sz="0" w:space="0" w:color="auto"/>
        <w:left w:val="none" w:sz="0" w:space="0" w:color="auto"/>
        <w:bottom w:val="none" w:sz="0" w:space="0" w:color="auto"/>
        <w:right w:val="none" w:sz="0" w:space="0" w:color="auto"/>
      </w:divBdr>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son.com/ocean-services/online-services/review-rates-tariff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9b54708493dd24f0f7ebf7725f1d6072">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a7192cea167e9aa467a18a829a5c04ac"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A6119-FAB7-4A4C-B4ED-BD4E0AFC7F69}">
  <ds:schemaRefs>
    <ds:schemaRef ds:uri="http://schemas.openxmlformats.org/officeDocument/2006/bibliography"/>
  </ds:schemaRefs>
</ds:datastoreItem>
</file>

<file path=customXml/itemProps2.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3.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4.xml><?xml version="1.0" encoding="utf-8"?>
<ds:datastoreItem xmlns:ds="http://schemas.openxmlformats.org/officeDocument/2006/customXml" ds:itemID="{078D4714-AA76-4B01-8F84-F2DDCD0F6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6718</Words>
  <Characters>38296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44925</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2024-12-05T18:01:00Z</cp:lastPrinted>
  <dcterms:created xsi:type="dcterms:W3CDTF">2024-12-30T20:47:00Z</dcterms:created>
  <dcterms:modified xsi:type="dcterms:W3CDTF">2024-12-30T20:47:00Z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